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96A8" w14:textId="77777777" w:rsidR="00380DFE" w:rsidRPr="00FA3AEB" w:rsidRDefault="00547D75" w:rsidP="00380DFE">
      <w:pPr>
        <w:widowControl/>
        <w:jc w:val="center"/>
        <w:rPr>
          <w:b/>
        </w:rPr>
      </w:pPr>
      <w:r w:rsidRPr="00FA3AEB">
        <w:rPr>
          <w:b/>
          <w:kern w:val="0"/>
        </w:rPr>
        <w:t>Before</w:t>
      </w:r>
      <w:r w:rsidRPr="00FA3AEB">
        <w:rPr>
          <w:b/>
        </w:rPr>
        <w:t xml:space="preserve"> the</w:t>
      </w:r>
      <w:r>
        <w:rPr>
          <w:b/>
        </w:rPr>
        <w:t xml:space="preserve">  </w:t>
      </w:r>
    </w:p>
    <w:p w14:paraId="48AE7150" w14:textId="77777777" w:rsidR="00380DFE" w:rsidRPr="00FA3AEB" w:rsidRDefault="00547D75" w:rsidP="00380DFE">
      <w:pPr>
        <w:pStyle w:val="StyleBoldCentered"/>
        <w:widowControl/>
        <w:rPr>
          <w:rFonts w:ascii="Times New Roman" w:hAnsi="Times New Roman"/>
        </w:rPr>
      </w:pPr>
      <w:r w:rsidRPr="00FA3AEB">
        <w:rPr>
          <w:rFonts w:ascii="Times New Roman" w:hAnsi="Times New Roman"/>
        </w:rPr>
        <w:t>F</w:t>
      </w:r>
      <w:r w:rsidRPr="00FA3AEB">
        <w:rPr>
          <w:rFonts w:ascii="Times New Roman" w:hAnsi="Times New Roman"/>
          <w:caps w:val="0"/>
        </w:rPr>
        <w:t>ederal Communications Commission</w:t>
      </w:r>
    </w:p>
    <w:p w14:paraId="673DF26F" w14:textId="77777777" w:rsidR="00380DFE" w:rsidRPr="00FA3AEB" w:rsidRDefault="00547D75" w:rsidP="00380DFE">
      <w:pPr>
        <w:pStyle w:val="StyleBoldCentered"/>
        <w:widowControl/>
        <w:rPr>
          <w:rFonts w:ascii="Times New Roman" w:hAnsi="Times New Roman"/>
        </w:rPr>
      </w:pPr>
      <w:r w:rsidRPr="00FA3AEB">
        <w:rPr>
          <w:rFonts w:ascii="Times New Roman" w:hAnsi="Times New Roman"/>
          <w:caps w:val="0"/>
        </w:rPr>
        <w:t>Washington, D.C. 20554</w:t>
      </w:r>
    </w:p>
    <w:p w14:paraId="4E8A8D80" w14:textId="77777777" w:rsidR="00380DFE" w:rsidRPr="00FA3AEB" w:rsidRDefault="00380DFE" w:rsidP="00380DFE">
      <w:pPr>
        <w:widowControl/>
      </w:pPr>
    </w:p>
    <w:p w14:paraId="34634709" w14:textId="77777777" w:rsidR="00380DFE" w:rsidRPr="00FA3AEB" w:rsidRDefault="00380DFE" w:rsidP="00380DFE">
      <w:pPr>
        <w:widowControl/>
      </w:pPr>
    </w:p>
    <w:tbl>
      <w:tblPr>
        <w:tblW w:w="9508" w:type="dxa"/>
        <w:tblInd w:w="-90" w:type="dxa"/>
        <w:tblLayout w:type="fixed"/>
        <w:tblLook w:val="0000" w:firstRow="0" w:lastRow="0" w:firstColumn="0" w:lastColumn="0" w:noHBand="0" w:noVBand="0"/>
      </w:tblPr>
      <w:tblGrid>
        <w:gridCol w:w="4665"/>
        <w:gridCol w:w="625"/>
        <w:gridCol w:w="4218"/>
      </w:tblGrid>
      <w:tr w:rsidR="00D65B99" w14:paraId="37DC513F" w14:textId="77777777">
        <w:trPr>
          <w:trHeight w:val="1378"/>
        </w:trPr>
        <w:tc>
          <w:tcPr>
            <w:tcW w:w="4665" w:type="dxa"/>
          </w:tcPr>
          <w:p w14:paraId="5FA8EE72" w14:textId="77777777" w:rsidR="00380DFE" w:rsidRDefault="00547D75">
            <w:pPr>
              <w:widowControl/>
              <w:tabs>
                <w:tab w:val="center" w:pos="4680"/>
              </w:tabs>
              <w:suppressAutoHyphens/>
              <w:rPr>
                <w:spacing w:val="-2"/>
              </w:rPr>
            </w:pPr>
            <w:r w:rsidRPr="00FA3AEB">
              <w:rPr>
                <w:spacing w:val="-2"/>
              </w:rPr>
              <w:t>In the Matter of</w:t>
            </w:r>
          </w:p>
          <w:p w14:paraId="6ED084DF" w14:textId="77777777" w:rsidR="00380DFE" w:rsidRPr="00FA3AEB" w:rsidRDefault="00380DFE">
            <w:pPr>
              <w:widowControl/>
              <w:tabs>
                <w:tab w:val="center" w:pos="4680"/>
              </w:tabs>
              <w:suppressAutoHyphens/>
              <w:rPr>
                <w:spacing w:val="-2"/>
              </w:rPr>
            </w:pPr>
          </w:p>
          <w:p w14:paraId="508649B5" w14:textId="77777777" w:rsidR="00380DFE" w:rsidRDefault="00547D75">
            <w:pPr>
              <w:widowControl/>
              <w:tabs>
                <w:tab w:val="center" w:pos="4680"/>
              </w:tabs>
              <w:suppressAutoHyphens/>
              <w:rPr>
                <w:spacing w:val="-2"/>
              </w:rPr>
            </w:pPr>
            <w:r>
              <w:rPr>
                <w:spacing w:val="-2"/>
              </w:rPr>
              <w:t>Rules and Regulations Implementing the Telephone Consumer Protection Act of 1991</w:t>
            </w:r>
          </w:p>
          <w:p w14:paraId="4AC697C5" w14:textId="77777777" w:rsidR="00380DFE" w:rsidRDefault="00380DFE">
            <w:pPr>
              <w:widowControl/>
              <w:tabs>
                <w:tab w:val="center" w:pos="4680"/>
              </w:tabs>
              <w:suppressAutoHyphens/>
              <w:rPr>
                <w:spacing w:val="-2"/>
              </w:rPr>
            </w:pPr>
          </w:p>
          <w:p w14:paraId="3FB93370" w14:textId="77777777" w:rsidR="00380DFE" w:rsidRPr="00FA3AEB" w:rsidRDefault="00380DFE">
            <w:pPr>
              <w:widowControl/>
              <w:tabs>
                <w:tab w:val="center" w:pos="4680"/>
              </w:tabs>
              <w:suppressAutoHyphens/>
              <w:rPr>
                <w:spacing w:val="-2"/>
              </w:rPr>
            </w:pPr>
          </w:p>
        </w:tc>
        <w:tc>
          <w:tcPr>
            <w:tcW w:w="625" w:type="dxa"/>
          </w:tcPr>
          <w:p w14:paraId="3EF7257B" w14:textId="77777777" w:rsidR="00380DFE" w:rsidRDefault="00547D75">
            <w:pPr>
              <w:widowControl/>
              <w:tabs>
                <w:tab w:val="center" w:pos="4680"/>
              </w:tabs>
              <w:suppressAutoHyphens/>
              <w:rPr>
                <w:b/>
                <w:spacing w:val="-2"/>
              </w:rPr>
            </w:pPr>
            <w:r>
              <w:rPr>
                <w:b/>
                <w:spacing w:val="-2"/>
              </w:rPr>
              <w:t>)</w:t>
            </w:r>
          </w:p>
          <w:p w14:paraId="2A65B8B3" w14:textId="77777777" w:rsidR="00380DFE" w:rsidRDefault="00547D75">
            <w:pPr>
              <w:widowControl/>
              <w:tabs>
                <w:tab w:val="center" w:pos="4680"/>
              </w:tabs>
              <w:suppressAutoHyphens/>
              <w:rPr>
                <w:b/>
                <w:spacing w:val="-2"/>
              </w:rPr>
            </w:pPr>
            <w:r>
              <w:rPr>
                <w:b/>
                <w:spacing w:val="-2"/>
              </w:rPr>
              <w:t>)</w:t>
            </w:r>
          </w:p>
          <w:p w14:paraId="1B6B7CC7" w14:textId="77777777" w:rsidR="00380DFE" w:rsidRDefault="00547D75">
            <w:pPr>
              <w:widowControl/>
              <w:rPr>
                <w:b/>
                <w:spacing w:val="-2"/>
              </w:rPr>
            </w:pPr>
            <w:r>
              <w:rPr>
                <w:b/>
                <w:spacing w:val="-2"/>
              </w:rPr>
              <w:t>)</w:t>
            </w:r>
          </w:p>
          <w:p w14:paraId="059E984B" w14:textId="77777777" w:rsidR="00380DFE" w:rsidRDefault="00547D75">
            <w:pPr>
              <w:widowControl/>
              <w:rPr>
                <w:b/>
                <w:spacing w:val="-2"/>
              </w:rPr>
            </w:pPr>
            <w:r>
              <w:rPr>
                <w:b/>
                <w:spacing w:val="-2"/>
              </w:rPr>
              <w:t>)</w:t>
            </w:r>
          </w:p>
          <w:p w14:paraId="304518FD" w14:textId="77777777" w:rsidR="00380DFE" w:rsidRPr="00FA3AEB" w:rsidRDefault="00380DFE">
            <w:pPr>
              <w:widowControl/>
              <w:tabs>
                <w:tab w:val="center" w:pos="4680"/>
              </w:tabs>
              <w:suppressAutoHyphens/>
              <w:rPr>
                <w:b/>
                <w:spacing w:val="-2"/>
              </w:rPr>
            </w:pPr>
          </w:p>
        </w:tc>
        <w:tc>
          <w:tcPr>
            <w:tcW w:w="4218" w:type="dxa"/>
          </w:tcPr>
          <w:p w14:paraId="65DC6E09" w14:textId="77777777" w:rsidR="00380DFE" w:rsidRPr="00FA3AEB" w:rsidRDefault="00380DFE">
            <w:pPr>
              <w:widowControl/>
              <w:tabs>
                <w:tab w:val="center" w:pos="4680"/>
              </w:tabs>
              <w:suppressAutoHyphens/>
              <w:rPr>
                <w:spacing w:val="-2"/>
              </w:rPr>
            </w:pPr>
          </w:p>
          <w:p w14:paraId="54763E16" w14:textId="77777777" w:rsidR="00380DFE" w:rsidRDefault="00380DFE">
            <w:pPr>
              <w:widowControl/>
            </w:pPr>
          </w:p>
          <w:p w14:paraId="5738C4A2" w14:textId="77777777" w:rsidR="00380DFE" w:rsidRPr="00FA3AEB" w:rsidRDefault="00547D75">
            <w:pPr>
              <w:widowControl/>
              <w:rPr>
                <w:spacing w:val="-2"/>
              </w:rPr>
            </w:pPr>
            <w:r w:rsidRPr="00FA3AEB">
              <w:t xml:space="preserve">CG Docket No. </w:t>
            </w:r>
            <w:r>
              <w:t>02-278</w:t>
            </w:r>
          </w:p>
        </w:tc>
      </w:tr>
    </w:tbl>
    <w:p w14:paraId="1A25A1ED" w14:textId="77777777" w:rsidR="00380DFE" w:rsidRPr="00FA3AEB" w:rsidRDefault="00547D75" w:rsidP="00380DFE">
      <w:pPr>
        <w:pStyle w:val="StyleBoldCentered"/>
        <w:widowControl/>
        <w:rPr>
          <w:rFonts w:ascii="Times New Roman" w:hAnsi="Times New Roman"/>
        </w:rPr>
      </w:pPr>
      <w:r>
        <w:rPr>
          <w:rFonts w:ascii="Times New Roman" w:hAnsi="Times New Roman"/>
        </w:rPr>
        <w:t>Order</w:t>
      </w:r>
    </w:p>
    <w:p w14:paraId="30C1B1E1" w14:textId="77777777" w:rsidR="00380DFE" w:rsidRPr="00FA3AEB" w:rsidRDefault="00380DFE" w:rsidP="00380DFE">
      <w:pPr>
        <w:widowControl/>
        <w:tabs>
          <w:tab w:val="left" w:pos="-720"/>
        </w:tabs>
        <w:suppressAutoHyphens/>
        <w:spacing w:line="227" w:lineRule="auto"/>
        <w:rPr>
          <w:spacing w:val="-2"/>
        </w:rPr>
      </w:pPr>
    </w:p>
    <w:p w14:paraId="11D1C1BC" w14:textId="77777777" w:rsidR="00380DFE" w:rsidRDefault="00547D75" w:rsidP="00380DFE">
      <w:pPr>
        <w:widowControl/>
        <w:tabs>
          <w:tab w:val="left" w:pos="720"/>
          <w:tab w:val="right" w:pos="9360"/>
        </w:tabs>
        <w:suppressAutoHyphens/>
        <w:spacing w:line="227" w:lineRule="auto"/>
        <w:rPr>
          <w:b/>
          <w:spacing w:val="-2"/>
        </w:rPr>
      </w:pPr>
      <w:r w:rsidRPr="00FA3AEB">
        <w:rPr>
          <w:b/>
          <w:spacing w:val="-2"/>
        </w:rPr>
        <w:t>Adopted</w:t>
      </w:r>
      <w:proofErr w:type="gramStart"/>
      <w:r w:rsidRPr="00FA3AEB">
        <w:rPr>
          <w:b/>
          <w:spacing w:val="-2"/>
        </w:rPr>
        <w:t xml:space="preserve">:  </w:t>
      </w:r>
      <w:r w:rsidR="003B2235">
        <w:rPr>
          <w:b/>
          <w:spacing w:val="-2"/>
        </w:rPr>
        <w:t>January</w:t>
      </w:r>
      <w:proofErr w:type="gramEnd"/>
      <w:r w:rsidR="003B2235">
        <w:rPr>
          <w:b/>
          <w:spacing w:val="-2"/>
        </w:rPr>
        <w:t xml:space="preserve"> 6</w:t>
      </w:r>
      <w:r w:rsidRPr="00FA3AEB">
        <w:rPr>
          <w:b/>
          <w:spacing w:val="-2"/>
        </w:rPr>
        <w:t>, 202</w:t>
      </w:r>
      <w:r w:rsidR="00944685">
        <w:rPr>
          <w:b/>
          <w:spacing w:val="-2"/>
        </w:rPr>
        <w:t>6</w:t>
      </w:r>
      <w:r w:rsidRPr="00FA3AEB">
        <w:rPr>
          <w:b/>
          <w:spacing w:val="-2"/>
        </w:rPr>
        <w:tab/>
      </w:r>
      <w:r w:rsidRPr="00FA3AEB">
        <w:rPr>
          <w:b/>
          <w:spacing w:val="-2"/>
        </w:rPr>
        <w:t>Released</w:t>
      </w:r>
      <w:proofErr w:type="gramStart"/>
      <w:r w:rsidRPr="00FA3AEB">
        <w:rPr>
          <w:b/>
          <w:spacing w:val="-2"/>
        </w:rPr>
        <w:t xml:space="preserve">: </w:t>
      </w:r>
      <w:r w:rsidR="001134D5">
        <w:rPr>
          <w:b/>
          <w:spacing w:val="-2"/>
        </w:rPr>
        <w:t xml:space="preserve"> </w:t>
      </w:r>
      <w:r w:rsidR="003B2235">
        <w:rPr>
          <w:b/>
          <w:spacing w:val="-2"/>
        </w:rPr>
        <w:t>January</w:t>
      </w:r>
      <w:proofErr w:type="gramEnd"/>
      <w:r w:rsidR="003B2235">
        <w:rPr>
          <w:b/>
          <w:spacing w:val="-2"/>
        </w:rPr>
        <w:t xml:space="preserve"> 6</w:t>
      </w:r>
      <w:r w:rsidRPr="00FA3AEB">
        <w:rPr>
          <w:b/>
          <w:spacing w:val="-2"/>
        </w:rPr>
        <w:t>, 202</w:t>
      </w:r>
      <w:bookmarkStart w:id="0" w:name="_Hlk52455694"/>
      <w:r w:rsidR="00944685">
        <w:rPr>
          <w:b/>
          <w:spacing w:val="-2"/>
        </w:rPr>
        <w:t>6</w:t>
      </w:r>
    </w:p>
    <w:p w14:paraId="3701F73B" w14:textId="77777777" w:rsidR="00380DFE" w:rsidRDefault="00380DFE" w:rsidP="00380DFE">
      <w:pPr>
        <w:widowControl/>
        <w:tabs>
          <w:tab w:val="left" w:pos="720"/>
          <w:tab w:val="right" w:pos="9360"/>
        </w:tabs>
        <w:suppressAutoHyphens/>
        <w:spacing w:line="227" w:lineRule="auto"/>
        <w:rPr>
          <w:b/>
          <w:spacing w:val="-2"/>
        </w:rPr>
      </w:pPr>
    </w:p>
    <w:p w14:paraId="6176532C" w14:textId="77777777" w:rsidR="00380DFE" w:rsidRDefault="00547D75" w:rsidP="00380DFE">
      <w:pPr>
        <w:widowControl/>
        <w:rPr>
          <w:spacing w:val="-2"/>
        </w:rPr>
      </w:pPr>
      <w:r w:rsidRPr="00FA3AEB">
        <w:t xml:space="preserve">By the </w:t>
      </w:r>
      <w:r>
        <w:rPr>
          <w:spacing w:val="-2"/>
        </w:rPr>
        <w:t>Chief, Consumer and Governmental Affairs Bureau</w:t>
      </w:r>
      <w:r w:rsidRPr="00FA3AEB">
        <w:rPr>
          <w:spacing w:val="-2"/>
        </w:rPr>
        <w:t xml:space="preserve">: </w:t>
      </w:r>
    </w:p>
    <w:p w14:paraId="1361966E" w14:textId="77777777" w:rsidR="00380DFE" w:rsidRDefault="00380DFE" w:rsidP="00380DFE">
      <w:pPr>
        <w:widowControl/>
        <w:rPr>
          <w:spacing w:val="-2"/>
        </w:rPr>
      </w:pPr>
    </w:p>
    <w:p w14:paraId="21D4AC77" w14:textId="77777777" w:rsidR="00380DFE" w:rsidRDefault="00547D75" w:rsidP="00380DFE">
      <w:pPr>
        <w:pStyle w:val="Heading1"/>
        <w:widowControl/>
        <w:rPr>
          <w:rFonts w:ascii="Times New Roman" w:hAnsi="Times New Roman"/>
        </w:rPr>
      </w:pPr>
      <w:bookmarkStart w:id="1" w:name="_Toc40348073"/>
      <w:bookmarkStart w:id="2" w:name="_Toc40348314"/>
      <w:bookmarkStart w:id="3" w:name="_Toc41931902"/>
      <w:bookmarkStart w:id="4" w:name="_Toc43637488"/>
      <w:bookmarkStart w:id="5" w:name="_Toc43820726"/>
      <w:bookmarkStart w:id="6" w:name="_Toc45638034"/>
      <w:bookmarkStart w:id="7" w:name="_Toc45638223"/>
      <w:bookmarkStart w:id="8" w:name="_Toc45638283"/>
      <w:bookmarkStart w:id="9" w:name="_Toc45710394"/>
      <w:bookmarkStart w:id="10" w:name="_Toc45713526"/>
      <w:bookmarkStart w:id="11" w:name="_Toc45716350"/>
      <w:bookmarkStart w:id="12" w:name="_Toc45723342"/>
      <w:bookmarkStart w:id="13" w:name="_Toc45728488"/>
      <w:bookmarkStart w:id="14" w:name="_Toc163641973"/>
      <w:bookmarkStart w:id="15" w:name="_Toc164331618"/>
      <w:bookmarkStart w:id="16" w:name="_Toc165296801"/>
      <w:bookmarkStart w:id="17" w:name="_Toc165452731"/>
      <w:r w:rsidRPr="00FA3AEB">
        <w:rPr>
          <w:rFonts w:ascii="Times New Roman" w:hAnsi="Times New Roman"/>
        </w:rPr>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6E9150A" w14:textId="77777777" w:rsidR="00380DFE" w:rsidRPr="00F42401" w:rsidRDefault="00547D75" w:rsidP="00244644">
      <w:pPr>
        <w:pStyle w:val="ParaNum"/>
        <w:tabs>
          <w:tab w:val="clear" w:pos="1080"/>
          <w:tab w:val="num" w:pos="1440"/>
        </w:tabs>
      </w:pPr>
      <w:r>
        <w:t xml:space="preserve">In this Order, we </w:t>
      </w:r>
      <w:r w:rsidR="00F850AB">
        <w:t>extend</w:t>
      </w:r>
      <w:r>
        <w:t xml:space="preserve"> the </w:t>
      </w:r>
      <w:r w:rsidR="00536114">
        <w:t xml:space="preserve">waiver </w:t>
      </w:r>
      <w:r>
        <w:t xml:space="preserve">of </w:t>
      </w:r>
      <w:bookmarkStart w:id="18" w:name="_Hlk193968952"/>
      <w:r>
        <w:t>section 64.1200(a)(10) of the Commission’s rules</w:t>
      </w:r>
      <w:r w:rsidR="008929F8">
        <w:t xml:space="preserve"> t</w:t>
      </w:r>
      <w:r w:rsidR="008929F8" w:rsidRPr="00F42401">
        <w:t xml:space="preserve">o the extent the rule </w:t>
      </w:r>
      <w:bookmarkStart w:id="19" w:name="_Hlk193983233"/>
      <w:r w:rsidRPr="00F42401">
        <w:t xml:space="preserve">requires callers to treat a request to revoke consent made by a called party in response to one type of </w:t>
      </w:r>
      <w:r w:rsidR="0015672D">
        <w:t xml:space="preserve">informational </w:t>
      </w:r>
      <w:r w:rsidRPr="00F42401">
        <w:t>message as applicable to all future robocalls and robotexts from that caller on unrelated matters.</w:t>
      </w:r>
      <w:bookmarkEnd w:id="18"/>
      <w:bookmarkEnd w:id="19"/>
      <w:r>
        <w:rPr>
          <w:rStyle w:val="FootnoteReference"/>
        </w:rPr>
        <w:footnoteReference w:id="2"/>
      </w:r>
      <w:r w:rsidRPr="00F42401">
        <w:t xml:space="preserve">  Specifically, we find that </w:t>
      </w:r>
      <w:r w:rsidRPr="00B37C88">
        <w:t xml:space="preserve">good cause exists to </w:t>
      </w:r>
      <w:r w:rsidR="003D2D1F" w:rsidRPr="00B37C88">
        <w:t>extend</w:t>
      </w:r>
      <w:r w:rsidRPr="00B37C88">
        <w:t xml:space="preserve"> the effective date for this requirement until </w:t>
      </w:r>
      <w:r w:rsidR="00BC566B">
        <w:t>January</w:t>
      </w:r>
      <w:r w:rsidR="00BC566B" w:rsidRPr="00B37C88">
        <w:t xml:space="preserve"> </w:t>
      </w:r>
      <w:r w:rsidR="004C7EF5" w:rsidRPr="00B37C88">
        <w:t>31</w:t>
      </w:r>
      <w:r w:rsidRPr="00B37C88">
        <w:t>, 202</w:t>
      </w:r>
      <w:r w:rsidR="00BC566B">
        <w:t>7</w:t>
      </w:r>
      <w:r w:rsidR="00433885">
        <w:t>,</w:t>
      </w:r>
      <w:r w:rsidRPr="00B37C88">
        <w:t xml:space="preserve"> to allow </w:t>
      </w:r>
      <w:r w:rsidR="00433885">
        <w:t xml:space="preserve">sufficient time to </w:t>
      </w:r>
      <w:r w:rsidR="00A84448" w:rsidRPr="00B37C88">
        <w:t xml:space="preserve">review the record compiled in response to a recent </w:t>
      </w:r>
      <w:r w:rsidR="003C58DF" w:rsidRPr="00B37C88">
        <w:t>Further Notice of Proposed Rulemaking</w:t>
      </w:r>
      <w:r w:rsidR="009054F6" w:rsidRPr="00B37C88">
        <w:t xml:space="preserve"> </w:t>
      </w:r>
      <w:r w:rsidR="000E1D03" w:rsidRPr="00B37C88">
        <w:t xml:space="preserve">and </w:t>
      </w:r>
      <w:r w:rsidR="00433885">
        <w:t xml:space="preserve">to </w:t>
      </w:r>
      <w:r w:rsidR="000E1D03" w:rsidRPr="00B37C88">
        <w:t xml:space="preserve">avoid </w:t>
      </w:r>
      <w:r w:rsidR="00153EA7" w:rsidRPr="00B37C88">
        <w:t>imposing potentially unnecessary compliance costs</w:t>
      </w:r>
      <w:r w:rsidR="00917866" w:rsidRPr="00B37C88">
        <w:t xml:space="preserve"> on </w:t>
      </w:r>
      <w:r w:rsidR="00433885">
        <w:t xml:space="preserve">affected </w:t>
      </w:r>
      <w:r w:rsidR="00917866" w:rsidRPr="00B37C88">
        <w:t>parties</w:t>
      </w:r>
      <w:r w:rsidRPr="00B37C88">
        <w:t>.</w:t>
      </w:r>
      <w:r>
        <w:rPr>
          <w:rStyle w:val="FootnoteReference"/>
        </w:rPr>
        <w:footnoteReference w:id="3"/>
      </w:r>
    </w:p>
    <w:p w14:paraId="66D9093B" w14:textId="77777777" w:rsidR="00380DFE" w:rsidRPr="00F42401" w:rsidRDefault="00547D75" w:rsidP="00380DFE">
      <w:pPr>
        <w:pStyle w:val="Heading1"/>
        <w:widowControl/>
        <w:rPr>
          <w:rFonts w:ascii="Times New Roman" w:hAnsi="Times New Roman"/>
        </w:rPr>
      </w:pPr>
      <w:bookmarkStart w:id="20" w:name="_Toc40348074"/>
      <w:bookmarkStart w:id="21" w:name="_Toc40348315"/>
      <w:bookmarkStart w:id="22" w:name="_Toc41931903"/>
      <w:bookmarkStart w:id="23" w:name="_Toc43637489"/>
      <w:bookmarkStart w:id="24" w:name="_Toc43820727"/>
      <w:bookmarkStart w:id="25" w:name="_Toc45638035"/>
      <w:bookmarkStart w:id="26" w:name="_Toc45638224"/>
      <w:bookmarkStart w:id="27" w:name="_Toc45638284"/>
      <w:bookmarkStart w:id="28" w:name="_Toc45710395"/>
      <w:bookmarkStart w:id="29" w:name="_Toc45713527"/>
      <w:bookmarkStart w:id="30" w:name="_Toc45716351"/>
      <w:bookmarkStart w:id="31" w:name="_Toc45723343"/>
      <w:bookmarkStart w:id="32" w:name="_Toc45728489"/>
      <w:bookmarkStart w:id="33" w:name="_Toc163641974"/>
      <w:bookmarkStart w:id="34" w:name="_Toc164331619"/>
      <w:bookmarkStart w:id="35" w:name="_Toc165296802"/>
      <w:bookmarkStart w:id="36" w:name="_Toc165452732"/>
      <w:r w:rsidRPr="00F42401">
        <w:rPr>
          <w:rFonts w:ascii="Times New Roman" w:hAnsi="Times New Roman"/>
        </w:rPr>
        <w:t>Background</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F440C27" w14:textId="77777777" w:rsidR="00380DFE" w:rsidRPr="00F42401" w:rsidRDefault="00547D75" w:rsidP="00380DFE">
      <w:pPr>
        <w:pStyle w:val="ParaNum"/>
        <w:tabs>
          <w:tab w:val="clear" w:pos="1080"/>
          <w:tab w:val="num" w:pos="1440"/>
        </w:tabs>
      </w:pPr>
      <w:bookmarkStart w:id="37" w:name="_Hlk163737776"/>
      <w:r w:rsidRPr="00F42401">
        <w:t xml:space="preserve"> </w:t>
      </w:r>
      <w:bookmarkStart w:id="38" w:name="_Hlk163738522"/>
      <w:bookmarkEnd w:id="37"/>
      <w:r w:rsidRPr="00F42401">
        <w:rPr>
          <w:i/>
          <w:iCs/>
        </w:rPr>
        <w:t>TCPA Consent Order</w:t>
      </w:r>
      <w:r w:rsidRPr="00F42401">
        <w:t xml:space="preserve">. </w:t>
      </w:r>
      <w:r w:rsidRPr="00F42401">
        <w:rPr>
          <w:i/>
          <w:iCs/>
        </w:rPr>
        <w:t xml:space="preserve"> </w:t>
      </w:r>
      <w:r w:rsidRPr="00F42401">
        <w:t xml:space="preserve">On February 16, 2024, the Commission released the </w:t>
      </w:r>
      <w:r w:rsidRPr="00F42401">
        <w:rPr>
          <w:i/>
        </w:rPr>
        <w:t>TCPA Consent Order</w:t>
      </w:r>
      <w:r w:rsidRPr="00F42401">
        <w:t xml:space="preserve"> adopting various rules </w:t>
      </w:r>
      <w:r w:rsidR="00DF33E9" w:rsidRPr="00F42401">
        <w:t>governing</w:t>
      </w:r>
      <w:r w:rsidR="00402B43" w:rsidRPr="00F42401">
        <w:t xml:space="preserve">, </w:t>
      </w:r>
      <w:r w:rsidRPr="00F42401">
        <w:t>and issuing clarifications relating to</w:t>
      </w:r>
      <w:r w:rsidR="00402B43" w:rsidRPr="00F42401">
        <w:t>,</w:t>
      </w:r>
      <w:r w:rsidRPr="00F42401">
        <w:t xml:space="preserve"> the ability of consumers to revoke consent to receive unwanted robocalls and robotexts.</w:t>
      </w:r>
      <w:r>
        <w:rPr>
          <w:vertAlign w:val="superscript"/>
        </w:rPr>
        <w:footnoteReference w:id="4"/>
      </w:r>
      <w:r w:rsidRPr="00F42401">
        <w:t xml:space="preserve">   In so doing, the Commission adopted section 64.1200(a)(10) of the rules, which requires in relevant part that “[i]f a called party uses any [reasonable] method to revoke consent, that consent is considered definitively revoked and the caller may not send additional robocalls and robotexts.”</w:t>
      </w:r>
      <w:r>
        <w:rPr>
          <w:rStyle w:val="FootnoteReference"/>
        </w:rPr>
        <w:footnoteReference w:id="5"/>
      </w:r>
    </w:p>
    <w:p w14:paraId="60930756" w14:textId="77777777" w:rsidR="00380DFE" w:rsidRPr="00F42401" w:rsidRDefault="00547D75" w:rsidP="00FF5D71">
      <w:pPr>
        <w:pStyle w:val="ParaNum"/>
        <w:tabs>
          <w:tab w:val="clear" w:pos="1080"/>
          <w:tab w:val="num" w:pos="1440"/>
        </w:tabs>
      </w:pPr>
      <w:r w:rsidRPr="00F42401">
        <w:t>The Commission also clarified that</w:t>
      </w:r>
      <w:r w:rsidR="00DC64CB">
        <w:t xml:space="preserve"> for those</w:t>
      </w:r>
      <w:r w:rsidR="008B6F4B">
        <w:t xml:space="preserve"> robocalls for which consent is required under the TCPA</w:t>
      </w:r>
      <w:r w:rsidRPr="00F42401">
        <w:t xml:space="preserve"> “[o]nce that consent is revoked, the caller may no longer make robocalls or send </w:t>
      </w:r>
      <w:r w:rsidRPr="00F42401">
        <w:lastRenderedPageBreak/>
        <w:t>robotexts to a called party absent an exemption to the consent obligation.”</w:t>
      </w:r>
      <w:r>
        <w:rPr>
          <w:vertAlign w:val="superscript"/>
        </w:rPr>
        <w:footnoteReference w:id="6"/>
      </w:r>
      <w:r w:rsidRPr="00F42401">
        <w:t xml:space="preserve"> </w:t>
      </w:r>
      <w:r w:rsidR="00D6573B">
        <w:t xml:space="preserve"> </w:t>
      </w:r>
      <w:r w:rsidR="00FF5D71" w:rsidRPr="00F42401">
        <w:t xml:space="preserve">On October 11, 2024, the Commission published in the Federal Register an announcement that </w:t>
      </w:r>
      <w:r w:rsidR="00CF0827">
        <w:t xml:space="preserve">the effective date of </w:t>
      </w:r>
      <w:r w:rsidR="00FF5D71" w:rsidRPr="00F42401">
        <w:t xml:space="preserve">the amendments and new rules set forth in the </w:t>
      </w:r>
      <w:r w:rsidR="00FF5D71" w:rsidRPr="00F42401">
        <w:rPr>
          <w:i/>
          <w:iCs/>
        </w:rPr>
        <w:t>TCPA Consent Order</w:t>
      </w:r>
      <w:r w:rsidR="00FF5D71">
        <w:t>,</w:t>
      </w:r>
      <w:r w:rsidR="00FF5D71" w:rsidRPr="00F42401">
        <w:rPr>
          <w:i/>
          <w:iCs/>
        </w:rPr>
        <w:t xml:space="preserve"> </w:t>
      </w:r>
      <w:r w:rsidR="00FF5D71">
        <w:t xml:space="preserve">including those </w:t>
      </w:r>
      <w:r w:rsidR="00FF5D71" w:rsidRPr="00F42401">
        <w:t>contained in 47 CFR § 64.1200(a) (10)</w:t>
      </w:r>
      <w:r w:rsidR="00FF5D71">
        <w:t>,</w:t>
      </w:r>
      <w:r w:rsidR="00FF5D71" w:rsidRPr="00F42401">
        <w:t xml:space="preserve"> </w:t>
      </w:r>
      <w:r w:rsidR="00CF0827">
        <w:t xml:space="preserve">would be </w:t>
      </w:r>
      <w:r w:rsidR="00FF5D71" w:rsidRPr="00F42401">
        <w:t>April 11, 2025.</w:t>
      </w:r>
      <w:r>
        <w:rPr>
          <w:vertAlign w:val="superscript"/>
        </w:rPr>
        <w:footnoteReference w:id="7"/>
      </w:r>
    </w:p>
    <w:p w14:paraId="038D5FEA" w14:textId="77777777" w:rsidR="00380DFE" w:rsidRPr="00F42401" w:rsidRDefault="00547D75" w:rsidP="005627BF">
      <w:pPr>
        <w:pStyle w:val="ParaNum"/>
      </w:pPr>
      <w:r w:rsidRPr="005627BF">
        <w:rPr>
          <w:i/>
          <w:iCs/>
        </w:rPr>
        <w:t>2025 Waiver Order</w:t>
      </w:r>
      <w:r w:rsidRPr="00F42401">
        <w:t>.</w:t>
      </w:r>
      <w:r w:rsidRPr="005627BF">
        <w:rPr>
          <w:i/>
          <w:iCs/>
        </w:rPr>
        <w:t xml:space="preserve">  </w:t>
      </w:r>
      <w:r w:rsidR="00A659F7" w:rsidRPr="00791B35">
        <w:t xml:space="preserve">On April 7, 2025, the Commission </w:t>
      </w:r>
      <w:r w:rsidR="005627BF">
        <w:t xml:space="preserve">granted </w:t>
      </w:r>
      <w:r w:rsidR="00A659F7" w:rsidRPr="00791B35">
        <w:t xml:space="preserve">a waiver delaying the effective date of </w:t>
      </w:r>
      <w:r w:rsidR="005627BF">
        <w:t xml:space="preserve">section </w:t>
      </w:r>
      <w:r w:rsidR="005627BF" w:rsidRPr="005627BF">
        <w:t>64.1200(a)(10)</w:t>
      </w:r>
      <w:r w:rsidR="005627BF">
        <w:t xml:space="preserve"> until April 11, 2026</w:t>
      </w:r>
      <w:r w:rsidR="00A659F7" w:rsidRPr="00791B35">
        <w:t>.</w:t>
      </w:r>
      <w:r>
        <w:rPr>
          <w:rStyle w:val="FootnoteReference"/>
        </w:rPr>
        <w:footnoteReference w:id="8"/>
      </w:r>
      <w:r w:rsidR="00A659F7">
        <w:t xml:space="preserve">  The Commission </w:t>
      </w:r>
      <w:r w:rsidR="005627BF">
        <w:t xml:space="preserve">did so </w:t>
      </w:r>
      <w:r w:rsidR="00A659F7">
        <w:t>after s</w:t>
      </w:r>
      <w:r w:rsidR="00193D76" w:rsidRPr="00F42401">
        <w:t>everal</w:t>
      </w:r>
      <w:r w:rsidRPr="00F42401">
        <w:t xml:space="preserve"> association</w:t>
      </w:r>
      <w:r w:rsidR="00193D76" w:rsidRPr="00F42401">
        <w:t>s</w:t>
      </w:r>
      <w:r w:rsidRPr="00F42401">
        <w:t xml:space="preserve"> of banks and financial institutions filed a request asking </w:t>
      </w:r>
      <w:r w:rsidR="00A659F7">
        <w:t xml:space="preserve">the Commission to </w:t>
      </w:r>
      <w:r w:rsidRPr="00F42401">
        <w:t>“waive the revocation rules established by the Order for a period of one year, to April 11, 2026.”</w:t>
      </w:r>
      <w:r>
        <w:rPr>
          <w:rStyle w:val="FootnoteReference"/>
        </w:rPr>
        <w:footnoteReference w:id="9"/>
      </w:r>
      <w:r w:rsidRPr="00F42401">
        <w:t xml:space="preserve">  These parties argue</w:t>
      </w:r>
      <w:r w:rsidR="00A90B40">
        <w:t>d</w:t>
      </w:r>
      <w:r w:rsidRPr="00F42401">
        <w:t xml:space="preserve"> that there is good cause under section 1.3 of the Commission’s rules to waive the effective date of the revocation rules for </w:t>
      </w:r>
      <w:r w:rsidR="0068349C" w:rsidRPr="00F42401">
        <w:t xml:space="preserve">one </w:t>
      </w:r>
      <w:r w:rsidRPr="00F42401">
        <w:t xml:space="preserve">year because </w:t>
      </w:r>
      <w:r w:rsidR="00BA6C1E" w:rsidRPr="00F42401">
        <w:t xml:space="preserve">financial institutions </w:t>
      </w:r>
      <w:r w:rsidRPr="00F42401">
        <w:t>face numerous challenges modifying existing communications to process “a revocation sent in response to one business unit’s call or text so that all business units cease placing calls or texts to the consumer.”</w:t>
      </w:r>
      <w:r>
        <w:rPr>
          <w:rStyle w:val="FootnoteReference"/>
        </w:rPr>
        <w:footnoteReference w:id="10"/>
      </w:r>
      <w:r w:rsidR="00791B35" w:rsidRPr="00791B35">
        <w:t xml:space="preserve"> </w:t>
      </w:r>
      <w:r w:rsidR="002C7118">
        <w:t xml:space="preserve"> </w:t>
      </w:r>
      <w:r w:rsidR="005627BF">
        <w:t>The Commission found that good cause existed to allow affected parties a reasonable opportunity to implement modifications to process revocation requests in accordance with this rule.</w:t>
      </w:r>
      <w:r>
        <w:rPr>
          <w:rStyle w:val="FootnoteReference"/>
        </w:rPr>
        <w:footnoteReference w:id="11"/>
      </w:r>
    </w:p>
    <w:p w14:paraId="61A5362C" w14:textId="77777777" w:rsidR="00E816C3" w:rsidRPr="00F42401" w:rsidRDefault="00547D75" w:rsidP="00380DFE">
      <w:pPr>
        <w:pStyle w:val="ParaNum"/>
        <w:tabs>
          <w:tab w:val="clear" w:pos="1080"/>
          <w:tab w:val="num" w:pos="1440"/>
        </w:tabs>
      </w:pPr>
      <w:r>
        <w:rPr>
          <w:i/>
          <w:iCs/>
        </w:rPr>
        <w:t>TCPA Further Notice of Proposed Rulemaking</w:t>
      </w:r>
      <w:r>
        <w:t xml:space="preserve">. </w:t>
      </w:r>
      <w:r>
        <w:rPr>
          <w:i/>
          <w:iCs/>
        </w:rPr>
        <w:t xml:space="preserve"> </w:t>
      </w:r>
      <w:r w:rsidR="008302A4">
        <w:t xml:space="preserve">On October </w:t>
      </w:r>
      <w:r>
        <w:t>29, 2025,</w:t>
      </w:r>
      <w:r w:rsidR="001F7FB8">
        <w:t xml:space="preserve"> the Commission</w:t>
      </w:r>
      <w:r w:rsidR="00225DA1">
        <w:t xml:space="preserve"> sought comment</w:t>
      </w:r>
      <w:r w:rsidR="00606A30">
        <w:t>, among other issues,</w:t>
      </w:r>
      <w:r w:rsidR="00225DA1">
        <w:t xml:space="preserve"> “on ways we can modify the requirement that a caller must treat an opt-out request made in response</w:t>
      </w:r>
      <w:r w:rsidR="00EF2251">
        <w:t xml:space="preserve"> to one type of call to be an opt-out request for </w:t>
      </w:r>
      <w:r w:rsidR="00EF2251">
        <w:rPr>
          <w:i/>
          <w:iCs/>
        </w:rPr>
        <w:t>all</w:t>
      </w:r>
      <w:r w:rsidR="00EF2251">
        <w:t xml:space="preserve"> types of calls or </w:t>
      </w:r>
      <w:r w:rsidR="00A2466D">
        <w:t>to</w:t>
      </w:r>
      <w:r w:rsidR="00EF2251">
        <w:t xml:space="preserve"> modify it </w:t>
      </w:r>
      <w:r w:rsidR="00D7131B">
        <w:t>to give consumers greater control over their right to stop unwanted calls.”</w:t>
      </w:r>
      <w:r>
        <w:rPr>
          <w:rStyle w:val="FootnoteReference"/>
        </w:rPr>
        <w:footnoteReference w:id="12"/>
      </w:r>
      <w:r w:rsidR="00580776">
        <w:t xml:space="preserve"> </w:t>
      </w:r>
      <w:r w:rsidR="00B60DB3">
        <w:t xml:space="preserve"> </w:t>
      </w:r>
      <w:r w:rsidR="00580776">
        <w:t xml:space="preserve">In so doing, the Commission delegated to </w:t>
      </w:r>
      <w:r w:rsidR="0017179D">
        <w:t xml:space="preserve">the </w:t>
      </w:r>
      <w:r w:rsidR="00F118B2">
        <w:t xml:space="preserve">Consumer and Governmental Affairs Bureau </w:t>
      </w:r>
      <w:r w:rsidR="0017179D">
        <w:t xml:space="preserve">(CGB) </w:t>
      </w:r>
      <w:r w:rsidR="00F118B2">
        <w:t xml:space="preserve">the authority to take action to extend the </w:t>
      </w:r>
      <w:r w:rsidR="001D1E8A">
        <w:t>effect</w:t>
      </w:r>
      <w:r w:rsidR="00F6313F">
        <w:t>ive</w:t>
      </w:r>
      <w:r w:rsidR="001D1E8A">
        <w:t xml:space="preserve"> date </w:t>
      </w:r>
      <w:r w:rsidR="00F118B2">
        <w:t>should the need arise.</w:t>
      </w:r>
      <w:r>
        <w:rPr>
          <w:rStyle w:val="FootnoteReference"/>
        </w:rPr>
        <w:footnoteReference w:id="13"/>
      </w:r>
      <w:r w:rsidR="00F118B2">
        <w:t xml:space="preserve">  </w:t>
      </w:r>
      <w:r w:rsidR="00B14D10">
        <w:t>Several parties</w:t>
      </w:r>
      <w:r w:rsidR="005627BF">
        <w:t>,</w:t>
      </w:r>
      <w:r w:rsidR="0018185B">
        <w:t xml:space="preserve"> including </w:t>
      </w:r>
      <w:r w:rsidR="005627BF">
        <w:t xml:space="preserve">consumers groups and </w:t>
      </w:r>
      <w:r w:rsidR="0018185B">
        <w:t>financial</w:t>
      </w:r>
      <w:r w:rsidR="00FF5D71">
        <w:t xml:space="preserve"> institutions</w:t>
      </w:r>
      <w:r w:rsidR="005627BF">
        <w:t>,</w:t>
      </w:r>
      <w:r w:rsidR="00B14D10">
        <w:t xml:space="preserve"> have requested that the Commission</w:t>
      </w:r>
      <w:r w:rsidR="00CC67A1">
        <w:t xml:space="preserve"> further extend the current effective date </w:t>
      </w:r>
      <w:r w:rsidR="00BA1976">
        <w:t xml:space="preserve">to allow an opportunity to </w:t>
      </w:r>
      <w:r w:rsidR="003E51D7">
        <w:t>revisit this issue.</w:t>
      </w:r>
      <w:r>
        <w:rPr>
          <w:rStyle w:val="FootnoteReference"/>
        </w:rPr>
        <w:footnoteReference w:id="14"/>
      </w:r>
    </w:p>
    <w:p w14:paraId="1A1C2F98" w14:textId="77777777" w:rsidR="00380DFE" w:rsidRPr="00F42401" w:rsidRDefault="00547D75" w:rsidP="00380DFE">
      <w:pPr>
        <w:pStyle w:val="Heading1"/>
        <w:widowControl/>
        <w:rPr>
          <w:rFonts w:ascii="Times New Roman" w:hAnsi="Times New Roman"/>
        </w:rPr>
      </w:pPr>
      <w:bookmarkStart w:id="40" w:name="co_tablefootnote_457_1"/>
      <w:bookmarkStart w:id="41" w:name="co_tablefootnote_461_1"/>
      <w:bookmarkStart w:id="42" w:name="_Toc163641979"/>
      <w:bookmarkStart w:id="43" w:name="_Toc164331624"/>
      <w:bookmarkStart w:id="44" w:name="_Toc165296807"/>
      <w:bookmarkStart w:id="45" w:name="_Toc165452737"/>
      <w:bookmarkEnd w:id="38"/>
      <w:bookmarkEnd w:id="40"/>
      <w:bookmarkEnd w:id="41"/>
      <w:r w:rsidRPr="00F42401">
        <w:rPr>
          <w:rFonts w:ascii="Times New Roman" w:hAnsi="Times New Roman"/>
        </w:rPr>
        <w:t>DISCUSSION</w:t>
      </w:r>
      <w:bookmarkStart w:id="46" w:name="_Hlk150770261"/>
      <w:bookmarkStart w:id="47" w:name="_Hlk48558276"/>
      <w:bookmarkEnd w:id="42"/>
      <w:bookmarkEnd w:id="43"/>
      <w:bookmarkEnd w:id="44"/>
      <w:bookmarkEnd w:id="45"/>
    </w:p>
    <w:bookmarkEnd w:id="46"/>
    <w:p w14:paraId="465AAC7D" w14:textId="77777777" w:rsidR="00143F24" w:rsidRPr="00F42401" w:rsidRDefault="00547D75" w:rsidP="0092078C">
      <w:pPr>
        <w:pStyle w:val="ParaNum"/>
        <w:widowControl/>
      </w:pPr>
      <w:r w:rsidRPr="00F42401">
        <w:t xml:space="preserve"> We find that good cause exists to </w:t>
      </w:r>
      <w:r>
        <w:t xml:space="preserve">extend the waiver of </w:t>
      </w:r>
      <w:r w:rsidRPr="00F42401">
        <w:t xml:space="preserve">the </w:t>
      </w:r>
      <w:r>
        <w:t>effective</w:t>
      </w:r>
      <w:r w:rsidRPr="00F42401">
        <w:t xml:space="preserve"> date of section 64.1200(a)(10) of the Commission’s rules to the extent that it requires callers to apply a request to revoke consent made in response to one type of message to all future robocalls and robotexts from that caller on </w:t>
      </w:r>
      <w:r w:rsidRPr="00F42401">
        <w:lastRenderedPageBreak/>
        <w:t xml:space="preserve">unrelated matters.  For the reasons discussed </w:t>
      </w:r>
      <w:r>
        <w:t>below</w:t>
      </w:r>
      <w:r w:rsidRPr="00F42401">
        <w:t xml:space="preserve">, we </w:t>
      </w:r>
      <w:r>
        <w:t>extend</w:t>
      </w:r>
      <w:r w:rsidRPr="00F42401">
        <w:t xml:space="preserve"> the effective date of any such requirement until </w:t>
      </w:r>
      <w:r w:rsidR="000B4BA0">
        <w:t xml:space="preserve">January </w:t>
      </w:r>
      <w:r>
        <w:t>31, 202</w:t>
      </w:r>
      <w:r w:rsidR="000B4BA0">
        <w:t>7</w:t>
      </w:r>
      <w:r w:rsidRPr="00F42401">
        <w:t xml:space="preserve">.  </w:t>
      </w:r>
    </w:p>
    <w:p w14:paraId="1F98222F" w14:textId="77777777" w:rsidR="00380DFE" w:rsidRPr="00F42401" w:rsidRDefault="00547D75" w:rsidP="00380DFE">
      <w:pPr>
        <w:pStyle w:val="ParaNum"/>
        <w:tabs>
          <w:tab w:val="clear" w:pos="1080"/>
          <w:tab w:val="num" w:pos="1440"/>
        </w:tabs>
      </w:pPr>
      <w:r w:rsidRPr="00F42401">
        <w:t>The Commission’s rules may be waived for good cause shown.</w:t>
      </w:r>
      <w:r>
        <w:rPr>
          <w:vertAlign w:val="superscript"/>
        </w:rPr>
        <w:footnoteReference w:id="15"/>
      </w:r>
      <w:r w:rsidRPr="00F42401">
        <w:t xml:space="preserve">  The Commission may exercise its discretion to waive a rule where the particular facts make strict compliance inconsistent with the public interest.</w:t>
      </w:r>
      <w:r>
        <w:rPr>
          <w:vertAlign w:val="superscript"/>
        </w:rPr>
        <w:footnoteReference w:id="16"/>
      </w:r>
      <w:r w:rsidRPr="00F42401">
        <w:t xml:space="preserve">  In addition, the Commission may take into account considerations of hardship, equity, or more effective implementation of overall policy on an individual basis.</w:t>
      </w:r>
      <w:r>
        <w:rPr>
          <w:vertAlign w:val="superscript"/>
        </w:rPr>
        <w:footnoteReference w:id="17"/>
      </w:r>
      <w:r w:rsidRPr="00F42401">
        <w:t xml:space="preserve">  Waiver of the Commission’s rules is therefore appropriate if special circumstances warrant a deviation from the general rule, and such a deviation will serve the public interest.</w:t>
      </w:r>
      <w:r>
        <w:rPr>
          <w:vertAlign w:val="superscript"/>
        </w:rPr>
        <w:footnoteReference w:id="18"/>
      </w:r>
    </w:p>
    <w:p w14:paraId="2A6438B2" w14:textId="77777777" w:rsidR="008C4CB7" w:rsidRDefault="00547D75" w:rsidP="0005561A">
      <w:pPr>
        <w:pStyle w:val="ParaNum"/>
        <w:tabs>
          <w:tab w:val="clear" w:pos="1080"/>
          <w:tab w:val="num" w:pos="1440"/>
        </w:tabs>
      </w:pPr>
      <w:r>
        <w:t>As discussed above</w:t>
      </w:r>
      <w:r w:rsidR="003659B7">
        <w:t>, the Commission recently</w:t>
      </w:r>
      <w:r w:rsidR="00234149">
        <w:t xml:space="preserve"> initiated a rulemaking</w:t>
      </w:r>
      <w:r w:rsidR="004B39AE">
        <w:t xml:space="preserve"> proceeding</w:t>
      </w:r>
      <w:r w:rsidR="00234149">
        <w:t xml:space="preserve"> </w:t>
      </w:r>
      <w:r w:rsidR="009C0BD7">
        <w:t xml:space="preserve">to “seek comment on ways we can modify the </w:t>
      </w:r>
      <w:r w:rsidR="009638EE">
        <w:t>requirement</w:t>
      </w:r>
      <w:r w:rsidR="009C0BD7">
        <w:t xml:space="preserve"> that a caller must treat an opt-out request made in response to one type of call to be an opt-out request for</w:t>
      </w:r>
      <w:r w:rsidR="007F28A4">
        <w:t xml:space="preserve"> all types of calls or to modify it to give consumers greater control over their right to stop unwanted calls.”</w:t>
      </w:r>
      <w:r>
        <w:rPr>
          <w:rStyle w:val="FootnoteReference"/>
        </w:rPr>
        <w:footnoteReference w:id="19"/>
      </w:r>
      <w:r w:rsidR="008C4B0C">
        <w:t xml:space="preserve"> </w:t>
      </w:r>
      <w:r w:rsidR="00510714">
        <w:t xml:space="preserve"> </w:t>
      </w:r>
      <w:r w:rsidR="009C26A1">
        <w:t xml:space="preserve">Given the </w:t>
      </w:r>
      <w:r w:rsidR="00FF5D71">
        <w:t xml:space="preserve">possibility the Commission may </w:t>
      </w:r>
      <w:r w:rsidR="009C26A1">
        <w:t>modify the existing requirement, w</w:t>
      </w:r>
      <w:r w:rsidR="00AF1B74" w:rsidRPr="00F42401">
        <w:t xml:space="preserve">e find that </w:t>
      </w:r>
      <w:r w:rsidR="0005561A">
        <w:t xml:space="preserve">good cause exists and </w:t>
      </w:r>
      <w:r w:rsidR="00AF1B74" w:rsidRPr="00F42401">
        <w:t xml:space="preserve">the public interest is served by </w:t>
      </w:r>
      <w:r w:rsidR="00E17C3F">
        <w:t xml:space="preserve">extending the </w:t>
      </w:r>
      <w:r w:rsidR="00AF1B74" w:rsidRPr="00F42401">
        <w:t>waiver</w:t>
      </w:r>
      <w:r w:rsidR="00E17C3F">
        <w:t xml:space="preserve">.  This extension will </w:t>
      </w:r>
      <w:r w:rsidR="00AF1B74">
        <w:t>allow</w:t>
      </w:r>
      <w:r w:rsidR="00AF1B74" w:rsidRPr="00F42401">
        <w:t xml:space="preserve"> </w:t>
      </w:r>
      <w:r w:rsidR="00E6633C">
        <w:t xml:space="preserve">the Commission to </w:t>
      </w:r>
      <w:r w:rsidR="00D56F24">
        <w:t xml:space="preserve">fully </w:t>
      </w:r>
      <w:r w:rsidR="00E6633C">
        <w:t xml:space="preserve">assess the record </w:t>
      </w:r>
      <w:r w:rsidR="00872CE9">
        <w:t>compiled</w:t>
      </w:r>
      <w:r w:rsidR="00E6633C">
        <w:t xml:space="preserve"> in response to </w:t>
      </w:r>
      <w:r w:rsidR="00000BA7">
        <w:t>this</w:t>
      </w:r>
      <w:r w:rsidR="00100A84">
        <w:t xml:space="preserve"> </w:t>
      </w:r>
      <w:r w:rsidR="00E6633C">
        <w:t>request for com</w:t>
      </w:r>
      <w:r w:rsidR="0007529E">
        <w:t>ment on this matter</w:t>
      </w:r>
      <w:r w:rsidR="00AF1B74" w:rsidRPr="00F42401">
        <w:t>.</w:t>
      </w:r>
      <w:r>
        <w:rPr>
          <w:rStyle w:val="FootnoteReference"/>
        </w:rPr>
        <w:footnoteReference w:id="20"/>
      </w:r>
      <w:r w:rsidR="00AF1B74" w:rsidRPr="00F42401">
        <w:t xml:space="preserve">  </w:t>
      </w:r>
      <w:r w:rsidR="00E17C3F">
        <w:t xml:space="preserve">Multiple </w:t>
      </w:r>
      <w:r w:rsidR="00AF1B74" w:rsidRPr="00F42401">
        <w:t xml:space="preserve">organizations </w:t>
      </w:r>
      <w:r w:rsidR="00E17C3F">
        <w:t xml:space="preserve">have indicated that, absent a delay, </w:t>
      </w:r>
      <w:r w:rsidR="00AF1B74" w:rsidRPr="00F42401">
        <w:t xml:space="preserve">they will </w:t>
      </w:r>
      <w:r w:rsidR="00E17C3F">
        <w:t xml:space="preserve">face </w:t>
      </w:r>
      <w:r w:rsidR="00AF1B74" w:rsidRPr="00F42401">
        <w:t xml:space="preserve">significant hardship </w:t>
      </w:r>
      <w:r w:rsidR="00E17C3F">
        <w:t xml:space="preserve">and resource burdens </w:t>
      </w:r>
      <w:r w:rsidR="00AF1B74" w:rsidRPr="00F42401">
        <w:t>to comply with the ru</w:t>
      </w:r>
      <w:r w:rsidR="00B06527" w:rsidRPr="00F42401">
        <w:t>le.</w:t>
      </w:r>
      <w:r>
        <w:rPr>
          <w:vertAlign w:val="superscript"/>
        </w:rPr>
        <w:footnoteReference w:id="21"/>
      </w:r>
      <w:r w:rsidR="00AF1B74" w:rsidRPr="00F42401">
        <w:t xml:space="preserve"> </w:t>
      </w:r>
      <w:r w:rsidR="00E77976">
        <w:t xml:space="preserve"> </w:t>
      </w:r>
      <w:r w:rsidR="00AF0E42">
        <w:t>For example</w:t>
      </w:r>
      <w:r w:rsidR="00550269">
        <w:t xml:space="preserve">, </w:t>
      </w:r>
      <w:r w:rsidR="00BE5D2D">
        <w:t xml:space="preserve">several </w:t>
      </w:r>
      <w:r w:rsidR="00A50EF5">
        <w:t>electric utilities</w:t>
      </w:r>
      <w:r w:rsidR="00AF0E42">
        <w:t xml:space="preserve"> </w:t>
      </w:r>
      <w:r w:rsidR="00E17C3F">
        <w:t>report that they would need to invest “</w:t>
      </w:r>
      <w:r w:rsidR="0077075C">
        <w:t>substantial funds, personnel resources</w:t>
      </w:r>
      <w:r w:rsidR="006D1866">
        <w:t>,</w:t>
      </w:r>
      <w:r w:rsidR="0077075C">
        <w:t xml:space="preserve"> and time</w:t>
      </w:r>
      <w:r w:rsidR="00E17C3F">
        <w:t xml:space="preserve">” to modify </w:t>
      </w:r>
      <w:r w:rsidR="00FF5D71">
        <w:t>“</w:t>
      </w:r>
      <w:r w:rsidR="00BC7701">
        <w:t>communications systems and coordinat</w:t>
      </w:r>
      <w:r w:rsidR="00E17C3F">
        <w:t>e</w:t>
      </w:r>
      <w:r w:rsidR="00BC7701">
        <w:t xml:space="preserve"> with third</w:t>
      </w:r>
      <w:r w:rsidR="003A5B32">
        <w:t>-party vendors.”</w:t>
      </w:r>
      <w:r>
        <w:rPr>
          <w:rStyle w:val="FootnoteReference"/>
        </w:rPr>
        <w:footnoteReference w:id="22"/>
      </w:r>
      <w:r w:rsidR="003A5B32">
        <w:t xml:space="preserve"> </w:t>
      </w:r>
      <w:r w:rsidR="00424711">
        <w:t xml:space="preserve"> A further extension of the </w:t>
      </w:r>
      <w:r w:rsidR="008D23C6">
        <w:t xml:space="preserve">rule’s effective date </w:t>
      </w:r>
      <w:r w:rsidR="000661E1">
        <w:t xml:space="preserve">until the Commission </w:t>
      </w:r>
      <w:r w:rsidR="00FF5D71">
        <w:t xml:space="preserve">decides whether to change the rule </w:t>
      </w:r>
      <w:r w:rsidR="008D23C6">
        <w:t xml:space="preserve">will </w:t>
      </w:r>
      <w:r w:rsidR="00E17C3F">
        <w:t xml:space="preserve">avoid premature and potentially unnecessary </w:t>
      </w:r>
      <w:r w:rsidR="00284471">
        <w:t>compliance efforts</w:t>
      </w:r>
      <w:r w:rsidR="007758E2">
        <w:t xml:space="preserve"> and costs</w:t>
      </w:r>
      <w:r w:rsidR="0025668D">
        <w:t>.</w:t>
      </w:r>
    </w:p>
    <w:p w14:paraId="61DFD369" w14:textId="77777777" w:rsidR="00380DFE" w:rsidRPr="00F42401" w:rsidRDefault="00547D75" w:rsidP="0005561A">
      <w:pPr>
        <w:pStyle w:val="ParaNum"/>
        <w:tabs>
          <w:tab w:val="clear" w:pos="1080"/>
          <w:tab w:val="num" w:pos="1440"/>
        </w:tabs>
      </w:pPr>
      <w:r w:rsidRPr="00F42401">
        <w:t xml:space="preserve">As a result, we </w:t>
      </w:r>
      <w:r w:rsidR="003131F9">
        <w:t>find</w:t>
      </w:r>
      <w:r w:rsidR="003131F9" w:rsidRPr="00F42401">
        <w:t xml:space="preserve"> </w:t>
      </w:r>
      <w:r w:rsidRPr="00F42401">
        <w:t>that the public interest is served by</w:t>
      </w:r>
      <w:r w:rsidR="002E28A0">
        <w:t xml:space="preserve"> providing a reasonable opportunity for the Commission to </w:t>
      </w:r>
      <w:r w:rsidR="0030437B">
        <w:t>review</w:t>
      </w:r>
      <w:r w:rsidR="002E28A0">
        <w:t xml:space="preserve"> these issues</w:t>
      </w:r>
      <w:r w:rsidR="009A2614">
        <w:t xml:space="preserve"> while reli</w:t>
      </w:r>
      <w:r w:rsidR="00F84F35">
        <w:t>evi</w:t>
      </w:r>
      <w:r w:rsidR="009A2614">
        <w:t>ng financial institutions and other businesses of the necessity to design</w:t>
      </w:r>
      <w:r w:rsidR="00B52CC5">
        <w:t xml:space="preserve"> and implement </w:t>
      </w:r>
      <w:r w:rsidR="0030437B">
        <w:t>sy</w:t>
      </w:r>
      <w:r w:rsidR="009B4590">
        <w:t>s</w:t>
      </w:r>
      <w:r w:rsidR="0030437B">
        <w:t>tems</w:t>
      </w:r>
      <w:r w:rsidR="00B52CC5">
        <w:t xml:space="preserve"> to comply with the rule</w:t>
      </w:r>
      <w:r w:rsidRPr="00F42401">
        <w:t>.</w:t>
      </w:r>
      <w:r w:rsidR="00E10B03" w:rsidRPr="00E10B03">
        <w:t xml:space="preserve">  </w:t>
      </w:r>
      <w:r w:rsidR="00EE28D4">
        <w:t xml:space="preserve">We, therefore, extend the effective date until </w:t>
      </w:r>
      <w:r w:rsidR="00694A76">
        <w:t xml:space="preserve">January </w:t>
      </w:r>
      <w:r w:rsidR="004C7EF5">
        <w:t>31</w:t>
      </w:r>
      <w:r w:rsidR="00EE28D4">
        <w:t xml:space="preserve">, </w:t>
      </w:r>
      <w:r w:rsidR="00694A76">
        <w:t>2027</w:t>
      </w:r>
      <w:r w:rsidR="00EE28D4">
        <w:t>.</w:t>
      </w:r>
    </w:p>
    <w:p w14:paraId="62BE5FAC" w14:textId="77777777" w:rsidR="00380DFE" w:rsidRPr="00F42401" w:rsidRDefault="00547D75" w:rsidP="00380DFE">
      <w:pPr>
        <w:pStyle w:val="ParaNum"/>
        <w:tabs>
          <w:tab w:val="clear" w:pos="1080"/>
          <w:tab w:val="num" w:pos="1440"/>
        </w:tabs>
      </w:pPr>
      <w:r w:rsidRPr="00F42401">
        <w:t>We emphasize that this waiver extends only to section 64.1200(a)(10)</w:t>
      </w:r>
      <w:r w:rsidR="00CD50EB" w:rsidRPr="00F42401">
        <w:t xml:space="preserve"> </w:t>
      </w:r>
      <w:r w:rsidRPr="00F42401">
        <w:t>to the extent discussed herein</w:t>
      </w:r>
      <w:r w:rsidR="00385B8D">
        <w:t xml:space="preserve"> and </w:t>
      </w:r>
      <w:r w:rsidRPr="00F42401">
        <w:t xml:space="preserve">does not alter the status quo relating to any other prior Commission </w:t>
      </w:r>
      <w:r w:rsidR="00B12607">
        <w:t xml:space="preserve">rules or </w:t>
      </w:r>
      <w:r w:rsidRPr="00F42401">
        <w:t>ruling</w:t>
      </w:r>
      <w:r w:rsidR="007967D8" w:rsidRPr="00F42401">
        <w:t>s</w:t>
      </w:r>
      <w:r w:rsidRPr="00F42401">
        <w:t xml:space="preserve"> addressing revocation of consent.</w:t>
      </w:r>
    </w:p>
    <w:p w14:paraId="3C694557" w14:textId="77777777" w:rsidR="00380DFE" w:rsidRPr="00F42401" w:rsidRDefault="00547D75" w:rsidP="00380DFE">
      <w:pPr>
        <w:pStyle w:val="Heading1"/>
        <w:widowControl/>
        <w:rPr>
          <w:rFonts w:ascii="Times New Roman" w:hAnsi="Times New Roman"/>
        </w:rPr>
      </w:pPr>
      <w:bookmarkStart w:id="48" w:name="_Toc163641990"/>
      <w:bookmarkStart w:id="49" w:name="_Toc164331635"/>
      <w:bookmarkStart w:id="50" w:name="_Toc165296818"/>
      <w:bookmarkStart w:id="51" w:name="_Toc165452748"/>
      <w:bookmarkEnd w:id="47"/>
      <w:r w:rsidRPr="00F42401">
        <w:rPr>
          <w:rFonts w:ascii="Times New Roman" w:hAnsi="Times New Roman"/>
        </w:rPr>
        <w:t>Ordering clauses</w:t>
      </w:r>
      <w:bookmarkEnd w:id="48"/>
      <w:bookmarkEnd w:id="49"/>
      <w:bookmarkEnd w:id="50"/>
      <w:bookmarkEnd w:id="51"/>
    </w:p>
    <w:p w14:paraId="2D95FE1D" w14:textId="77777777" w:rsidR="00380DFE" w:rsidRPr="00F42401" w:rsidRDefault="00547D75" w:rsidP="00380DFE">
      <w:pPr>
        <w:pStyle w:val="ParaNum"/>
        <w:tabs>
          <w:tab w:val="clear" w:pos="1080"/>
          <w:tab w:val="num" w:pos="1440"/>
        </w:tabs>
      </w:pPr>
      <w:r w:rsidRPr="00F42401">
        <w:t xml:space="preserve">For the reasons stated above, </w:t>
      </w:r>
      <w:r w:rsidRPr="00F42401">
        <w:rPr>
          <w:b/>
          <w:bCs/>
        </w:rPr>
        <w:t>IT IS ORDERED</w:t>
      </w:r>
      <w:r w:rsidRPr="00F42401">
        <w:t>, pursuant to sections 1-4 and 227 of the Communications Act of 1934, as amended, 47 U.S.C. § 151-154 and 227, and sections 1.3 and 64.1200 of the Commission’s rules, 47 CFR §§ 1.3, 64.1200, and the authority delegated in</w:t>
      </w:r>
      <w:r w:rsidR="000155B1">
        <w:t xml:space="preserve"> footnote 123 of the </w:t>
      </w:r>
      <w:r w:rsidR="000155B1">
        <w:rPr>
          <w:i/>
          <w:iCs/>
        </w:rPr>
        <w:t>2025 TCPA FNPRM</w:t>
      </w:r>
      <w:r w:rsidR="00C46E32">
        <w:t xml:space="preserve"> and</w:t>
      </w:r>
      <w:r w:rsidRPr="00F42401">
        <w:t xml:space="preserve"> sections. 0.141 and 0.361 of the Commission’s rules, 47 CFR §§ 0.141, 0.361, that </w:t>
      </w:r>
      <w:r w:rsidRPr="00F42401">
        <w:lastRenderedPageBreak/>
        <w:t xml:space="preserve">this Order is hereby </w:t>
      </w:r>
      <w:r w:rsidRPr="00F42401">
        <w:rPr>
          <w:b/>
          <w:bCs/>
        </w:rPr>
        <w:t>ADOPTED</w:t>
      </w:r>
      <w:r w:rsidRPr="00F42401">
        <w:t>.</w:t>
      </w:r>
    </w:p>
    <w:p w14:paraId="6E425A66" w14:textId="77777777" w:rsidR="00380DFE" w:rsidRPr="00F42401" w:rsidRDefault="00547D75" w:rsidP="00380DFE">
      <w:pPr>
        <w:pStyle w:val="ParaNum"/>
        <w:tabs>
          <w:tab w:val="clear" w:pos="1080"/>
          <w:tab w:val="num" w:pos="1440"/>
        </w:tabs>
      </w:pPr>
      <w:r w:rsidRPr="00F42401">
        <w:rPr>
          <w:b/>
          <w:bCs/>
        </w:rPr>
        <w:t>IT IS FURTHER ORDERED</w:t>
      </w:r>
      <w:r w:rsidRPr="00F42401">
        <w:t xml:space="preserve"> that the effective date of section 64.1200(a)(10) is extended to </w:t>
      </w:r>
      <w:r w:rsidR="00A71129">
        <w:t xml:space="preserve">January </w:t>
      </w:r>
      <w:r w:rsidR="004C7EF5">
        <w:t>31</w:t>
      </w:r>
      <w:r w:rsidRPr="00F42401">
        <w:t>, 202</w:t>
      </w:r>
      <w:r w:rsidR="00A71129">
        <w:t>7</w:t>
      </w:r>
      <w:r w:rsidRPr="00F42401">
        <w:t xml:space="preserve"> to the extent discussed herein.</w:t>
      </w:r>
    </w:p>
    <w:p w14:paraId="02930048" w14:textId="77777777" w:rsidR="00380DFE" w:rsidRPr="00F42401" w:rsidRDefault="00547D75" w:rsidP="00380DFE">
      <w:pPr>
        <w:pStyle w:val="ParaNum"/>
        <w:tabs>
          <w:tab w:val="clear" w:pos="1080"/>
          <w:tab w:val="num" w:pos="1440"/>
        </w:tabs>
      </w:pPr>
      <w:r w:rsidRPr="00F42401">
        <w:rPr>
          <w:b/>
          <w:bCs/>
        </w:rPr>
        <w:t>IT IS FURTHER ORDERED</w:t>
      </w:r>
      <w:r w:rsidRPr="00F42401">
        <w:t xml:space="preserve"> that, pursuant to section 1.3 of the Commission’s rules, 47 CFR § 1.3, this Order shall be effective upon release.</w:t>
      </w:r>
    </w:p>
    <w:p w14:paraId="5C7E7C22" w14:textId="77777777" w:rsidR="00380DFE" w:rsidRPr="00F42401" w:rsidRDefault="00380DFE" w:rsidP="00380DFE">
      <w:pPr>
        <w:pStyle w:val="ParaNum"/>
        <w:widowControl/>
        <w:numPr>
          <w:ilvl w:val="0"/>
          <w:numId w:val="0"/>
        </w:numPr>
        <w:ind w:left="3600"/>
      </w:pPr>
    </w:p>
    <w:p w14:paraId="7B6D041C" w14:textId="77777777" w:rsidR="00380DFE" w:rsidRPr="00F42401" w:rsidRDefault="00547D75" w:rsidP="00380DFE">
      <w:pPr>
        <w:widowControl/>
        <w:ind w:firstLine="4320"/>
      </w:pPr>
      <w:r w:rsidRPr="00F42401">
        <w:t>FEDERAL COMMUNICATIONS COMMISSION</w:t>
      </w:r>
    </w:p>
    <w:p w14:paraId="20439C43" w14:textId="77777777" w:rsidR="00380DFE" w:rsidRPr="00F42401" w:rsidRDefault="00380DFE" w:rsidP="00380DFE">
      <w:pPr>
        <w:widowControl/>
        <w:ind w:firstLine="4320"/>
      </w:pPr>
    </w:p>
    <w:p w14:paraId="5CCE7401" w14:textId="77777777" w:rsidR="00380DFE" w:rsidRPr="00F42401" w:rsidRDefault="00380DFE" w:rsidP="00380DFE">
      <w:pPr>
        <w:widowControl/>
        <w:ind w:firstLine="4320"/>
      </w:pPr>
    </w:p>
    <w:p w14:paraId="77453702" w14:textId="77777777" w:rsidR="00380DFE" w:rsidRPr="00F42401" w:rsidRDefault="00380DFE" w:rsidP="00380DFE">
      <w:pPr>
        <w:widowControl/>
      </w:pPr>
    </w:p>
    <w:p w14:paraId="355C301A" w14:textId="77777777" w:rsidR="00380DFE" w:rsidRPr="00F42401" w:rsidRDefault="00380DFE" w:rsidP="00380DFE">
      <w:pPr>
        <w:widowControl/>
      </w:pPr>
    </w:p>
    <w:p w14:paraId="2CAE3056" w14:textId="77777777" w:rsidR="00380DFE" w:rsidRPr="00F42401" w:rsidRDefault="00547D75" w:rsidP="00380DFE">
      <w:pPr>
        <w:widowControl/>
      </w:pPr>
      <w:r w:rsidRPr="00F42401">
        <w:tab/>
      </w:r>
      <w:r w:rsidRPr="00F42401">
        <w:tab/>
      </w:r>
      <w:r w:rsidRPr="00F42401">
        <w:tab/>
      </w:r>
      <w:r w:rsidRPr="00F42401">
        <w:tab/>
      </w:r>
      <w:r w:rsidRPr="00F42401">
        <w:tab/>
      </w:r>
      <w:r w:rsidRPr="00F42401">
        <w:tab/>
        <w:t>Eduard Bartholme III</w:t>
      </w:r>
    </w:p>
    <w:p w14:paraId="31811362" w14:textId="77777777" w:rsidR="00380DFE" w:rsidRPr="00F42401" w:rsidRDefault="00547D75" w:rsidP="00380DFE">
      <w:pPr>
        <w:widowControl/>
      </w:pPr>
      <w:r w:rsidRPr="00F42401">
        <w:tab/>
      </w:r>
      <w:r w:rsidRPr="00F42401">
        <w:tab/>
      </w:r>
      <w:r w:rsidRPr="00F42401">
        <w:tab/>
      </w:r>
      <w:r w:rsidRPr="00F42401">
        <w:tab/>
      </w:r>
      <w:r w:rsidRPr="00F42401">
        <w:tab/>
      </w:r>
      <w:r w:rsidRPr="00F42401">
        <w:tab/>
        <w:t>Chief</w:t>
      </w:r>
    </w:p>
    <w:p w14:paraId="3FD15CA9" w14:textId="77777777" w:rsidR="00380DFE" w:rsidRPr="00FF2EEC" w:rsidRDefault="00547D75" w:rsidP="00380DFE">
      <w:pPr>
        <w:widowControl/>
        <w:ind w:left="3600" w:firstLine="720"/>
        <w:rPr>
          <w:b/>
          <w:bCs/>
        </w:rPr>
      </w:pPr>
      <w:r w:rsidRPr="00F42401">
        <w:t>Consumer and Governmental Affairs Bureau</w:t>
      </w:r>
      <w:bookmarkEnd w:id="0"/>
    </w:p>
    <w:p w14:paraId="5DDC92DD" w14:textId="77777777" w:rsidR="008C4904" w:rsidRPr="00380DFE" w:rsidRDefault="008C4904" w:rsidP="00380DFE"/>
    <w:sectPr w:rsidR="008C4904" w:rsidRPr="00380DFE" w:rsidSect="0055614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7DC0" w14:textId="77777777" w:rsidR="00547D75" w:rsidRDefault="00547D75">
      <w:pPr>
        <w:spacing w:line="20" w:lineRule="exact"/>
      </w:pPr>
    </w:p>
  </w:endnote>
  <w:endnote w:type="continuationSeparator" w:id="0">
    <w:p w14:paraId="4D14553E" w14:textId="77777777" w:rsidR="00547D75" w:rsidRDefault="00547D75">
      <w:r>
        <w:t xml:space="preserve"> </w:t>
      </w:r>
    </w:p>
  </w:endnote>
  <w:endnote w:type="continuationNotice" w:id="1">
    <w:p w14:paraId="2CD1227F" w14:textId="77777777" w:rsidR="00547D75" w:rsidRDefault="00547D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C0A5" w14:textId="77777777" w:rsidR="00D25FB5" w:rsidRDefault="00547D75" w:rsidP="0055614C">
    <w:pPr>
      <w:pStyle w:val="Footer"/>
      <w:framePr w:wrap="around" w:vAnchor="text" w:hAnchor="margin" w:xAlign="center" w:y="1"/>
    </w:pPr>
    <w:r>
      <w:rPr>
        <w:color w:val="2B579A"/>
        <w:shd w:val="clear" w:color="auto" w:fill="E6E6E6"/>
      </w:rPr>
      <w:fldChar w:fldCharType="begin"/>
    </w:r>
    <w:r>
      <w:instrText xml:space="preserve">PAGE  </w:instrText>
    </w:r>
    <w:r>
      <w:rPr>
        <w:color w:val="2B579A"/>
        <w:shd w:val="clear" w:color="auto" w:fill="E6E6E6"/>
      </w:rPr>
      <w:fldChar w:fldCharType="separate"/>
    </w:r>
    <w:r>
      <w:rPr>
        <w:color w:val="2B579A"/>
        <w:shd w:val="clear" w:color="auto" w:fill="E6E6E6"/>
      </w:rPr>
      <w:fldChar w:fldCharType="end"/>
    </w:r>
  </w:p>
  <w:p w14:paraId="562A5A86" w14:textId="77777777" w:rsidR="00D25FB5" w:rsidRDefault="00D25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3710" w14:textId="77777777" w:rsidR="009D7308" w:rsidRPr="00952B30" w:rsidRDefault="00547D75">
    <w:pPr>
      <w:pStyle w:val="Footer"/>
      <w:jc w:val="center"/>
    </w:pPr>
    <w:r w:rsidRPr="00952B30">
      <w:rPr>
        <w:shd w:val="clear" w:color="auto" w:fill="E6E6E6"/>
      </w:rPr>
      <w:fldChar w:fldCharType="begin"/>
    </w:r>
    <w:r w:rsidRPr="00952B30">
      <w:instrText xml:space="preserve"> PAGE   \* MERGEFORMAT </w:instrText>
    </w:r>
    <w:r w:rsidRPr="00952B30">
      <w:rPr>
        <w:shd w:val="clear" w:color="auto" w:fill="E6E6E6"/>
      </w:rPr>
      <w:fldChar w:fldCharType="separate"/>
    </w:r>
    <w:r w:rsidRPr="00952B30">
      <w:rPr>
        <w:noProof/>
      </w:rPr>
      <w:t>2</w:t>
    </w:r>
    <w:r w:rsidRPr="00952B30">
      <w:rPr>
        <w:shd w:val="clear" w:color="auto" w:fill="E6E6E6"/>
      </w:rPr>
      <w:fldChar w:fldCharType="end"/>
    </w:r>
  </w:p>
  <w:p w14:paraId="2D2150C2" w14:textId="77777777" w:rsidR="00D25FB5" w:rsidRDefault="00D25FB5">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F00A" w14:textId="77777777" w:rsidR="00D25FB5" w:rsidRDefault="00D25FB5">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8892" w14:textId="77777777" w:rsidR="00547D75" w:rsidRDefault="00547D75">
      <w:r>
        <w:separator/>
      </w:r>
    </w:p>
  </w:footnote>
  <w:footnote w:type="continuationSeparator" w:id="0">
    <w:p w14:paraId="56C5C568" w14:textId="77777777" w:rsidR="00547D75" w:rsidRDefault="00547D75" w:rsidP="00C721AC">
      <w:pPr>
        <w:spacing w:before="120"/>
        <w:rPr>
          <w:sz w:val="20"/>
        </w:rPr>
      </w:pPr>
      <w:r>
        <w:rPr>
          <w:sz w:val="20"/>
        </w:rPr>
        <w:t xml:space="preserve">(Continued from previous page)  </w:t>
      </w:r>
      <w:r>
        <w:rPr>
          <w:sz w:val="20"/>
        </w:rPr>
        <w:separator/>
      </w:r>
    </w:p>
  </w:footnote>
  <w:footnote w:type="continuationNotice" w:id="1">
    <w:p w14:paraId="4C1320C7" w14:textId="77777777" w:rsidR="00547D75" w:rsidRDefault="00547D75" w:rsidP="00C721AC">
      <w:pPr>
        <w:jc w:val="right"/>
        <w:rPr>
          <w:sz w:val="20"/>
        </w:rPr>
      </w:pPr>
      <w:r>
        <w:rPr>
          <w:sz w:val="20"/>
        </w:rPr>
        <w:t>(</w:t>
      </w:r>
      <w:proofErr w:type="gramStart"/>
      <w:r>
        <w:rPr>
          <w:sz w:val="20"/>
        </w:rPr>
        <w:t>continued</w:t>
      </w:r>
      <w:proofErr w:type="gramEnd"/>
      <w:r>
        <w:rPr>
          <w:sz w:val="20"/>
        </w:rPr>
        <w:t>….)</w:t>
      </w:r>
    </w:p>
  </w:footnote>
  <w:footnote w:id="2">
    <w:p w14:paraId="102B70F8" w14:textId="77777777" w:rsidR="00380DFE" w:rsidRPr="00B10FE4" w:rsidRDefault="00547D75" w:rsidP="00380DFE">
      <w:pPr>
        <w:pStyle w:val="FootnoteText"/>
      </w:pPr>
      <w:r>
        <w:rPr>
          <w:rStyle w:val="FootnoteReference"/>
        </w:rPr>
        <w:footnoteRef/>
      </w:r>
      <w:r>
        <w:t xml:space="preserve"> </w:t>
      </w:r>
      <w:r w:rsidR="00D30F95" w:rsidRPr="00D30F95">
        <w:rPr>
          <w:i/>
          <w:iCs/>
        </w:rPr>
        <w:t>See Rules and Regulations Implementing the Telephone Consumer Protection Act of 1991</w:t>
      </w:r>
      <w:r w:rsidR="00D30F95" w:rsidRPr="00D30F95">
        <w:t>, CG Docket No. 02-278,</w:t>
      </w:r>
      <w:r w:rsidR="003617B6">
        <w:t xml:space="preserve"> Order,</w:t>
      </w:r>
      <w:r w:rsidR="00D30F95" w:rsidRPr="00D30F95">
        <w:t xml:space="preserve"> </w:t>
      </w:r>
      <w:r w:rsidR="004C7EF5">
        <w:t xml:space="preserve">40 FCC Rcd 2395 </w:t>
      </w:r>
      <w:r w:rsidR="00D30F95" w:rsidRPr="00D30F95">
        <w:t>(CGB 2025)</w:t>
      </w:r>
      <w:r w:rsidR="00C325EA">
        <w:t xml:space="preserve"> (</w:t>
      </w:r>
      <w:r w:rsidR="00470B41">
        <w:t xml:space="preserve">granting a waiver </w:t>
      </w:r>
      <w:r w:rsidR="00034F4A">
        <w:t>delaying the effective date of this requirement until April 11, 2026)</w:t>
      </w:r>
      <w:r w:rsidR="00470B41">
        <w:t xml:space="preserve"> (</w:t>
      </w:r>
      <w:r w:rsidR="00470B41">
        <w:rPr>
          <w:i/>
          <w:iCs/>
        </w:rPr>
        <w:t>2025 Waiver Order</w:t>
      </w:r>
      <w:r w:rsidR="00470B41">
        <w:t xml:space="preserve">). </w:t>
      </w:r>
      <w:r w:rsidR="00470B41">
        <w:rPr>
          <w:i/>
          <w:iCs/>
        </w:rPr>
        <w:t xml:space="preserve"> </w:t>
      </w:r>
      <w:r>
        <w:t>For purposes of this Order, the terms “robocall” and “robotext” mean any call or text made using an autodialer or any call that contains an artificial or prerecorded voice message.</w:t>
      </w:r>
    </w:p>
  </w:footnote>
  <w:footnote w:id="3">
    <w:p w14:paraId="6D99A0E6" w14:textId="77777777" w:rsidR="00606A30" w:rsidRDefault="00547D75">
      <w:pPr>
        <w:pStyle w:val="FootnoteText"/>
      </w:pPr>
      <w:r>
        <w:rPr>
          <w:rStyle w:val="FootnoteReference"/>
        </w:rPr>
        <w:footnoteRef/>
      </w:r>
      <w:r>
        <w:t xml:space="preserve"> </w:t>
      </w:r>
      <w:r w:rsidR="00734499" w:rsidRPr="00734499">
        <w:rPr>
          <w:i/>
          <w:iCs/>
        </w:rPr>
        <w:t>See Advanced Methods to Target and Eliminate Unlawful Robocalls, Call Authentication Trust Anchor, Rules and Regulations Implementing the Telephone Consumer Protection Act of 1991</w:t>
      </w:r>
      <w:r w:rsidR="00734499" w:rsidRPr="00734499">
        <w:t>, Ninth Further Notice of Proposed Rulemaking in CG Docket No. 17-59, Seventh Further Notice of Proposed Rulemaking in WC Docket No. 17-97, Further Notice of Proposed Rulemaking in CG Docket No. 02-278, FCC 25-76 at</w:t>
      </w:r>
      <w:r w:rsidR="00734499" w:rsidRPr="00734499">
        <w:rPr>
          <w:i/>
          <w:iCs/>
        </w:rPr>
        <w:t xml:space="preserve"> </w:t>
      </w:r>
      <w:r w:rsidR="00734499" w:rsidRPr="00734499">
        <w:t>para</w:t>
      </w:r>
      <w:r w:rsidR="00815B8E">
        <w:t>s</w:t>
      </w:r>
      <w:r w:rsidR="00734499" w:rsidRPr="00734499">
        <w:t>. 101</w:t>
      </w:r>
      <w:r w:rsidR="00815B8E">
        <w:t>-04</w:t>
      </w:r>
      <w:r w:rsidR="00734499" w:rsidRPr="00734499">
        <w:t xml:space="preserve"> (2025) (</w:t>
      </w:r>
      <w:r w:rsidR="00734499" w:rsidRPr="00734499">
        <w:rPr>
          <w:i/>
          <w:iCs/>
        </w:rPr>
        <w:t>2025 TCPA FNPRM</w:t>
      </w:r>
      <w:r w:rsidR="00734499" w:rsidRPr="00734499">
        <w:t>)</w:t>
      </w:r>
      <w:r w:rsidR="00994121">
        <w:t>.</w:t>
      </w:r>
      <w:r w:rsidR="00734499" w:rsidRPr="00734499">
        <w:t xml:space="preserve">  </w:t>
      </w:r>
    </w:p>
  </w:footnote>
  <w:footnote w:id="4">
    <w:p w14:paraId="39BE8A58" w14:textId="77777777" w:rsidR="00380DFE" w:rsidRPr="00304801" w:rsidRDefault="00547D75" w:rsidP="00380DFE">
      <w:pPr>
        <w:pStyle w:val="FootnoteText"/>
      </w:pPr>
      <w:r>
        <w:rPr>
          <w:rStyle w:val="FootnoteReference"/>
        </w:rPr>
        <w:footnoteRef/>
      </w:r>
      <w:r>
        <w:t xml:space="preserve"> </w:t>
      </w:r>
      <w:r>
        <w:rPr>
          <w:i/>
          <w:iCs/>
        </w:rPr>
        <w:t xml:space="preserve">See </w:t>
      </w:r>
      <w:r w:rsidRPr="00C507DE">
        <w:rPr>
          <w:i/>
          <w:iCs/>
        </w:rPr>
        <w:t>Rules and Regulations Implementing the Telephone Consumer Protection Act of 1991</w:t>
      </w:r>
      <w:r w:rsidRPr="00C507DE">
        <w:t>, CG Docket No. 02-278</w:t>
      </w:r>
      <w:r>
        <w:t xml:space="preserve">, Report and Order and Further Notice of Proposed Rulemaking, </w:t>
      </w:r>
      <w:r w:rsidR="00A659F7">
        <w:t xml:space="preserve">39 FCC Rcd 1988 </w:t>
      </w:r>
      <w:r>
        <w:t>(2024) (</w:t>
      </w:r>
      <w:r>
        <w:rPr>
          <w:i/>
          <w:iCs/>
        </w:rPr>
        <w:t>TCPA Consent Order</w:t>
      </w:r>
      <w:r>
        <w:t>).</w:t>
      </w:r>
      <w:r w:rsidR="001430E0">
        <w:t xml:space="preserve"> </w:t>
      </w:r>
      <w:r>
        <w:t xml:space="preserve"> The Telephone Consumer Protection Act (TCPA) generally requires any person making robocalls or sending robotexts to obtain the recipient’s prior express consent absent an emergency purpose or an applicable exemption.  </w:t>
      </w:r>
      <w:r>
        <w:rPr>
          <w:i/>
          <w:iCs/>
        </w:rPr>
        <w:t xml:space="preserve">See </w:t>
      </w:r>
      <w:r>
        <w:t xml:space="preserve">47 U.S.C. </w:t>
      </w:r>
      <w:r w:rsidRPr="00304801">
        <w:t>§</w:t>
      </w:r>
      <w:r>
        <w:t xml:space="preserve"> 227(b).</w:t>
      </w:r>
    </w:p>
  </w:footnote>
  <w:footnote w:id="5">
    <w:p w14:paraId="5DCE364C" w14:textId="77777777" w:rsidR="00380DFE" w:rsidRPr="00B7029D" w:rsidRDefault="00547D75" w:rsidP="00380DFE">
      <w:pPr>
        <w:pStyle w:val="FootnoteText"/>
      </w:pPr>
      <w:r>
        <w:rPr>
          <w:rStyle w:val="FootnoteReference"/>
        </w:rPr>
        <w:footnoteRef/>
      </w:r>
      <w:r>
        <w:t xml:space="preserve"> </w:t>
      </w:r>
      <w:r>
        <w:rPr>
          <w:i/>
          <w:iCs/>
        </w:rPr>
        <w:t xml:space="preserve">See </w:t>
      </w:r>
      <w:r>
        <w:t xml:space="preserve">47 CFR </w:t>
      </w:r>
      <w:r w:rsidRPr="00C13BFB">
        <w:t>§</w:t>
      </w:r>
      <w:r>
        <w:t xml:space="preserve"> 64.1200(a)(10).</w:t>
      </w:r>
    </w:p>
  </w:footnote>
  <w:footnote w:id="6">
    <w:p w14:paraId="4B05E3C4" w14:textId="77777777" w:rsidR="00380DFE" w:rsidRPr="00214A47" w:rsidRDefault="00547D75" w:rsidP="00380DFE">
      <w:pPr>
        <w:pStyle w:val="FootnoteText"/>
      </w:pPr>
      <w:r>
        <w:rPr>
          <w:rStyle w:val="FootnoteReference"/>
        </w:rPr>
        <w:footnoteRef/>
      </w:r>
      <w:r>
        <w:t xml:space="preserve"> </w:t>
      </w:r>
      <w:r>
        <w:rPr>
          <w:i/>
          <w:iCs/>
        </w:rPr>
        <w:t>TCPA Consent Order</w:t>
      </w:r>
      <w:r w:rsidR="00A037F2">
        <w:t xml:space="preserve">, 39 FCC Rcd </w:t>
      </w:r>
      <w:proofErr w:type="gramStart"/>
      <w:r w:rsidR="00A037F2">
        <w:t>at</w:t>
      </w:r>
      <w:proofErr w:type="gramEnd"/>
      <w:r w:rsidR="00A037F2">
        <w:t xml:space="preserve"> </w:t>
      </w:r>
      <w:r w:rsidR="00023F9E">
        <w:t>1997,</w:t>
      </w:r>
      <w:r>
        <w:rPr>
          <w:i/>
          <w:iCs/>
        </w:rPr>
        <w:t xml:space="preserve"> </w:t>
      </w:r>
      <w:r>
        <w:t>para. 29.</w:t>
      </w:r>
    </w:p>
  </w:footnote>
  <w:footnote w:id="7">
    <w:p w14:paraId="3BFFAE18" w14:textId="77777777" w:rsidR="00FF5D71" w:rsidRPr="007D175A" w:rsidRDefault="00547D75" w:rsidP="00FF5D71">
      <w:pPr>
        <w:pStyle w:val="FootnoteText"/>
      </w:pPr>
      <w:r>
        <w:rPr>
          <w:rStyle w:val="FootnoteReference"/>
        </w:rPr>
        <w:footnoteRef/>
      </w:r>
      <w:r>
        <w:t xml:space="preserve"> </w:t>
      </w:r>
      <w:r w:rsidRPr="007D175A">
        <w:rPr>
          <w:i/>
          <w:iCs/>
        </w:rPr>
        <w:t xml:space="preserve">See </w:t>
      </w:r>
      <w:r>
        <w:t xml:space="preserve">Federal Communications Commission, </w:t>
      </w:r>
      <w:r>
        <w:rPr>
          <w:bCs/>
          <w:i/>
          <w:iCs/>
        </w:rPr>
        <w:t>Strengthening the Ability of Consumers to Stop Robocalls</w:t>
      </w:r>
      <w:r w:rsidRPr="007D175A">
        <w:rPr>
          <w:bCs/>
        </w:rPr>
        <w:t xml:space="preserve">, </w:t>
      </w:r>
      <w:r w:rsidRPr="00013E83">
        <w:rPr>
          <w:bCs/>
        </w:rPr>
        <w:t>8</w:t>
      </w:r>
      <w:r>
        <w:rPr>
          <w:bCs/>
        </w:rPr>
        <w:t>9</w:t>
      </w:r>
      <w:r w:rsidRPr="00013E83">
        <w:rPr>
          <w:bCs/>
        </w:rPr>
        <w:t xml:space="preserve"> F</w:t>
      </w:r>
      <w:r>
        <w:rPr>
          <w:bCs/>
        </w:rPr>
        <w:t xml:space="preserve">ed. </w:t>
      </w:r>
      <w:r w:rsidRPr="00013E83">
        <w:rPr>
          <w:bCs/>
        </w:rPr>
        <w:t>R</w:t>
      </w:r>
      <w:r>
        <w:rPr>
          <w:bCs/>
        </w:rPr>
        <w:t>eg.</w:t>
      </w:r>
      <w:r w:rsidRPr="00013E83">
        <w:rPr>
          <w:bCs/>
        </w:rPr>
        <w:t xml:space="preserve"> </w:t>
      </w:r>
      <w:r>
        <w:rPr>
          <w:bCs/>
        </w:rPr>
        <w:t>82518</w:t>
      </w:r>
      <w:r w:rsidRPr="00013E83">
        <w:rPr>
          <w:bCs/>
        </w:rPr>
        <w:t xml:space="preserve"> (</w:t>
      </w:r>
      <w:r>
        <w:rPr>
          <w:bCs/>
        </w:rPr>
        <w:t>Oct. 11</w:t>
      </w:r>
      <w:r w:rsidRPr="00013E83">
        <w:rPr>
          <w:bCs/>
        </w:rPr>
        <w:t>, 202</w:t>
      </w:r>
      <w:r>
        <w:rPr>
          <w:bCs/>
        </w:rPr>
        <w:t>4</w:t>
      </w:r>
      <w:r w:rsidRPr="00013E83">
        <w:rPr>
          <w:bCs/>
        </w:rPr>
        <w:t>).</w:t>
      </w:r>
    </w:p>
  </w:footnote>
  <w:footnote w:id="8">
    <w:p w14:paraId="5AC6AB07" w14:textId="77777777" w:rsidR="00A659F7" w:rsidRPr="00E80D92" w:rsidRDefault="00547D75" w:rsidP="00A659F7">
      <w:pPr>
        <w:pStyle w:val="FootnoteText"/>
      </w:pPr>
      <w:r>
        <w:rPr>
          <w:rStyle w:val="FootnoteReference"/>
        </w:rPr>
        <w:footnoteRef/>
      </w:r>
      <w:r>
        <w:t xml:space="preserve"> </w:t>
      </w:r>
      <w:r>
        <w:rPr>
          <w:i/>
          <w:iCs/>
        </w:rPr>
        <w:t>See 2025 Waiver Order</w:t>
      </w:r>
      <w:r>
        <w:t xml:space="preserve">, </w:t>
      </w:r>
      <w:r w:rsidR="002953A2">
        <w:t xml:space="preserve">40 FCC Rcd </w:t>
      </w:r>
      <w:r>
        <w:t xml:space="preserve">at </w:t>
      </w:r>
      <w:r w:rsidR="00CC28D6">
        <w:t xml:space="preserve">2397, </w:t>
      </w:r>
      <w:r>
        <w:t>para. 8.</w:t>
      </w:r>
    </w:p>
  </w:footnote>
  <w:footnote w:id="9">
    <w:p w14:paraId="129C235B" w14:textId="77777777" w:rsidR="00380DFE" w:rsidRDefault="00547D75" w:rsidP="00380DFE">
      <w:pPr>
        <w:pStyle w:val="FootnoteText"/>
      </w:pPr>
      <w:r>
        <w:rPr>
          <w:rStyle w:val="FootnoteReference"/>
        </w:rPr>
        <w:footnoteRef/>
      </w:r>
      <w:r>
        <w:t xml:space="preserve"> Letter from </w:t>
      </w:r>
      <w:bookmarkStart w:id="39" w:name="_Hlk193973056"/>
      <w:r>
        <w:t xml:space="preserve">American Bankers Association, ACA International, American Financial Services Association, America’s Credit Unions, Mortgage Bankers Association, to Marlene H. Dortch, Secretary, FCC, </w:t>
      </w:r>
      <w:r w:rsidR="005D0A8E">
        <w:t xml:space="preserve">at 1-2 </w:t>
      </w:r>
      <w:r>
        <w:t>(filed Mar. 12, 2025) (</w:t>
      </w:r>
      <w:r w:rsidRPr="00B8010E">
        <w:rPr>
          <w:i/>
          <w:iCs/>
        </w:rPr>
        <w:t>ABA et al. Mar. 12</w:t>
      </w:r>
      <w:r>
        <w:t xml:space="preserve"> </w:t>
      </w:r>
      <w:r w:rsidRPr="00254ACE">
        <w:rPr>
          <w:i/>
          <w:iCs/>
        </w:rPr>
        <w:t>ex parte</w:t>
      </w:r>
      <w:r>
        <w:t>)</w:t>
      </w:r>
      <w:r w:rsidR="00946DAE">
        <w:t xml:space="preserve">; </w:t>
      </w:r>
      <w:r w:rsidR="00946DAE">
        <w:rPr>
          <w:i/>
          <w:iCs/>
        </w:rPr>
        <w:t xml:space="preserve">see also </w:t>
      </w:r>
      <w:r w:rsidR="00946DAE" w:rsidRPr="00946DAE">
        <w:t xml:space="preserve">Letter from American Bankers Association, ACA International, American Financial Services Association, America’s Credit Unions, Mortgage Bankers Association, to Marlene H. Dortch, Secretary, FCC, </w:t>
      </w:r>
      <w:r w:rsidR="005D0A8E">
        <w:t xml:space="preserve">at 1 </w:t>
      </w:r>
      <w:r w:rsidR="00946DAE" w:rsidRPr="00946DAE">
        <w:t>(filed Mar. 27, 2025) (</w:t>
      </w:r>
      <w:r w:rsidR="00946DAE" w:rsidRPr="00B8010E">
        <w:rPr>
          <w:i/>
          <w:iCs/>
        </w:rPr>
        <w:t>ABA et al. Mar. 27</w:t>
      </w:r>
      <w:r w:rsidR="00946DAE" w:rsidRPr="00946DAE">
        <w:t xml:space="preserve"> </w:t>
      </w:r>
      <w:r w:rsidR="00946DAE" w:rsidRPr="00946DAE">
        <w:rPr>
          <w:i/>
          <w:iCs/>
        </w:rPr>
        <w:t>ex parte</w:t>
      </w:r>
      <w:r w:rsidR="00946DAE" w:rsidRPr="00946DAE">
        <w:t>).</w:t>
      </w:r>
      <w:bookmarkEnd w:id="39"/>
    </w:p>
  </w:footnote>
  <w:footnote w:id="10">
    <w:p w14:paraId="0B051E8C" w14:textId="77777777" w:rsidR="00380DFE" w:rsidRPr="00812B01" w:rsidRDefault="00547D75" w:rsidP="00380DFE">
      <w:pPr>
        <w:pStyle w:val="FootnoteText"/>
      </w:pPr>
      <w:r>
        <w:rPr>
          <w:rStyle w:val="FootnoteReference"/>
        </w:rPr>
        <w:footnoteRef/>
      </w:r>
      <w:r>
        <w:t xml:space="preserve"> </w:t>
      </w:r>
      <w:r w:rsidR="00AD6FE7" w:rsidRPr="00B8010E">
        <w:rPr>
          <w:i/>
          <w:iCs/>
        </w:rPr>
        <w:t>ABA et al. Mar. 12</w:t>
      </w:r>
      <w:r w:rsidR="00AD6FE7">
        <w:t xml:space="preserve"> </w:t>
      </w:r>
      <w:r w:rsidR="00AD6FE7">
        <w:rPr>
          <w:i/>
          <w:iCs/>
        </w:rPr>
        <w:t>ex parte</w:t>
      </w:r>
      <w:r>
        <w:t xml:space="preserve"> at 1.</w:t>
      </w:r>
    </w:p>
  </w:footnote>
  <w:footnote w:id="11">
    <w:p w14:paraId="5E719515" w14:textId="77777777" w:rsidR="005627BF" w:rsidRPr="00E80D92" w:rsidRDefault="00547D75" w:rsidP="005627BF">
      <w:pPr>
        <w:pStyle w:val="FootnoteText"/>
      </w:pPr>
      <w:r>
        <w:rPr>
          <w:rStyle w:val="FootnoteReference"/>
        </w:rPr>
        <w:footnoteRef/>
      </w:r>
      <w:r>
        <w:t xml:space="preserve"> </w:t>
      </w:r>
      <w:r>
        <w:rPr>
          <w:i/>
          <w:iCs/>
        </w:rPr>
        <w:t>See 2025 Waiver Order</w:t>
      </w:r>
      <w:r>
        <w:t xml:space="preserve">, </w:t>
      </w:r>
      <w:r w:rsidR="002953A2">
        <w:t xml:space="preserve">40 FCC Rcd at 2395, </w:t>
      </w:r>
      <w:r>
        <w:t>para. 1.</w:t>
      </w:r>
    </w:p>
  </w:footnote>
  <w:footnote w:id="12">
    <w:p w14:paraId="4671379F" w14:textId="77777777" w:rsidR="00D7131B" w:rsidRDefault="00547D75">
      <w:pPr>
        <w:pStyle w:val="FootnoteText"/>
      </w:pPr>
      <w:r>
        <w:rPr>
          <w:rStyle w:val="FootnoteReference"/>
        </w:rPr>
        <w:footnoteRef/>
      </w:r>
      <w:r>
        <w:t xml:space="preserve"> </w:t>
      </w:r>
      <w:r w:rsidR="00B60DB3">
        <w:rPr>
          <w:i/>
          <w:iCs/>
        </w:rPr>
        <w:t>See</w:t>
      </w:r>
      <w:r w:rsidR="00EB2AC3">
        <w:rPr>
          <w:i/>
          <w:iCs/>
        </w:rPr>
        <w:t xml:space="preserve"> </w:t>
      </w:r>
      <w:r w:rsidR="0098525C">
        <w:rPr>
          <w:i/>
          <w:iCs/>
        </w:rPr>
        <w:t>2025 TCPA FNPRM</w:t>
      </w:r>
      <w:r w:rsidR="00AF5FED">
        <w:t xml:space="preserve"> at</w:t>
      </w:r>
      <w:r w:rsidR="00C95697">
        <w:rPr>
          <w:i/>
          <w:iCs/>
        </w:rPr>
        <w:t xml:space="preserve"> </w:t>
      </w:r>
      <w:r w:rsidR="00580776">
        <w:t>para. 101</w:t>
      </w:r>
      <w:r w:rsidR="00AF5FED">
        <w:t xml:space="preserve"> </w:t>
      </w:r>
      <w:r w:rsidR="00B14D10">
        <w:t>(emphasis in the original).</w:t>
      </w:r>
    </w:p>
  </w:footnote>
  <w:footnote w:id="13">
    <w:p w14:paraId="006FA54F" w14:textId="77777777" w:rsidR="00F118B2" w:rsidRPr="00F118B2" w:rsidRDefault="00547D75">
      <w:pPr>
        <w:pStyle w:val="FootnoteText"/>
      </w:pPr>
      <w:r>
        <w:rPr>
          <w:rStyle w:val="FootnoteReference"/>
        </w:rPr>
        <w:footnoteRef/>
      </w:r>
      <w:r>
        <w:t xml:space="preserve"> </w:t>
      </w:r>
      <w:r>
        <w:rPr>
          <w:i/>
          <w:iCs/>
        </w:rPr>
        <w:t>Id.</w:t>
      </w:r>
      <w:r>
        <w:t xml:space="preserve"> at </w:t>
      </w:r>
      <w:r w:rsidR="00A97954">
        <w:t>n.123.</w:t>
      </w:r>
    </w:p>
  </w:footnote>
  <w:footnote w:id="14">
    <w:p w14:paraId="5625734E" w14:textId="77777777" w:rsidR="000F7529" w:rsidRPr="000B5F5A" w:rsidRDefault="00547D75">
      <w:pPr>
        <w:pStyle w:val="FootnoteText"/>
      </w:pPr>
      <w:r>
        <w:rPr>
          <w:rStyle w:val="FootnoteReference"/>
        </w:rPr>
        <w:footnoteRef/>
      </w:r>
      <w:r>
        <w:t xml:space="preserve"> </w:t>
      </w:r>
      <w:r>
        <w:rPr>
          <w:i/>
          <w:iCs/>
        </w:rPr>
        <w:t xml:space="preserve">See </w:t>
      </w:r>
      <w:r w:rsidR="000B5F5A" w:rsidRPr="000B5F5A">
        <w:t>Letter from Jonathan Thessin, Vice President and Senior Counsel, American Bankers Association, and Patrick Crotty, Senior Attorney, National Consumer Law Center, to Brendan Carr, Chairman, FCC, CG Docket No. 02-278 (filed Sept. 18, 2025)</w:t>
      </w:r>
      <w:r w:rsidR="005D0181">
        <w:t xml:space="preserve"> (</w:t>
      </w:r>
      <w:r w:rsidR="005D0181">
        <w:rPr>
          <w:i/>
          <w:iCs/>
        </w:rPr>
        <w:t>ABA/NCLC ex parte</w:t>
      </w:r>
      <w:r w:rsidR="005D0181">
        <w:t>)</w:t>
      </w:r>
      <w:r w:rsidR="003704B4">
        <w:t xml:space="preserve">; </w:t>
      </w:r>
      <w:r w:rsidR="003704B4" w:rsidRPr="003704B4">
        <w:t>Letter from Brett Heather Freedson, Counsel to American Electric Power Company, Inc., Dominion Energy Inc., and Xcel Energy Services, Inc., to Marlene Dorch, Secretary, FCC, CG Docket No. 02-278 (filed Oct. 21, 2025)</w:t>
      </w:r>
      <w:r w:rsidR="002F3F39">
        <w:t xml:space="preserve"> (</w:t>
      </w:r>
      <w:r w:rsidR="002F3F39">
        <w:rPr>
          <w:i/>
          <w:iCs/>
        </w:rPr>
        <w:t>Electric Utilities ex parte</w:t>
      </w:r>
      <w:r w:rsidR="002F3F39">
        <w:t>).</w:t>
      </w:r>
    </w:p>
  </w:footnote>
  <w:footnote w:id="15">
    <w:p w14:paraId="75C56C99" w14:textId="77777777" w:rsidR="00380DFE" w:rsidRDefault="00547D75" w:rsidP="00380DFE">
      <w:pPr>
        <w:pStyle w:val="FootnoteText"/>
      </w:pPr>
      <w:r>
        <w:rPr>
          <w:rStyle w:val="FootnoteReference"/>
        </w:rPr>
        <w:footnoteRef/>
      </w:r>
      <w:r>
        <w:t xml:space="preserve"> 47 C.F.R. § 1.3.</w:t>
      </w:r>
    </w:p>
  </w:footnote>
  <w:footnote w:id="16">
    <w:p w14:paraId="31E41927" w14:textId="77777777" w:rsidR="00380DFE" w:rsidRDefault="00547D75" w:rsidP="00380DFE">
      <w:pPr>
        <w:pStyle w:val="FootnoteText"/>
      </w:pPr>
      <w:r>
        <w:rPr>
          <w:rStyle w:val="FootnoteReference"/>
        </w:rPr>
        <w:footnoteRef/>
      </w:r>
      <w:r>
        <w:t xml:space="preserve"> </w:t>
      </w:r>
      <w:r>
        <w:rPr>
          <w:i/>
        </w:rPr>
        <w:t>Northeast Cellular Telephone Co. v. FCC</w:t>
      </w:r>
      <w:r>
        <w:t>, 897 F.2d 1164, 1166 (D.C. Cir. 1990).</w:t>
      </w:r>
    </w:p>
  </w:footnote>
  <w:footnote w:id="17">
    <w:p w14:paraId="16A5B27B" w14:textId="77777777" w:rsidR="00380DFE" w:rsidRDefault="00547D75" w:rsidP="00380DFE">
      <w:pPr>
        <w:pStyle w:val="FootnoteText"/>
      </w:pPr>
      <w:r>
        <w:rPr>
          <w:rStyle w:val="FootnoteReference"/>
        </w:rPr>
        <w:footnoteRef/>
      </w:r>
      <w:r>
        <w:t xml:space="preserve"> </w:t>
      </w:r>
      <w:r>
        <w:rPr>
          <w:i/>
        </w:rPr>
        <w:t>WAIT Radio</w:t>
      </w:r>
      <w:r w:rsidR="00F42401">
        <w:rPr>
          <w:i/>
        </w:rPr>
        <w:t xml:space="preserve"> v. FCC</w:t>
      </w:r>
      <w:r w:rsidR="00F42401" w:rsidRPr="00F42401">
        <w:rPr>
          <w:iCs/>
        </w:rPr>
        <w:t>, 418 F.2d 1153</w:t>
      </w:r>
      <w:r w:rsidRPr="00F42401">
        <w:rPr>
          <w:iCs/>
        </w:rPr>
        <w:t>,</w:t>
      </w:r>
      <w:r>
        <w:t xml:space="preserve"> 1157</w:t>
      </w:r>
      <w:r w:rsidR="00F42401">
        <w:t xml:space="preserve"> (D.C. Cir. 1969)</w:t>
      </w:r>
      <w:r>
        <w:t>.</w:t>
      </w:r>
    </w:p>
  </w:footnote>
  <w:footnote w:id="18">
    <w:p w14:paraId="6DBCCCD5" w14:textId="77777777" w:rsidR="00380DFE" w:rsidRDefault="00547D75" w:rsidP="00380DFE">
      <w:pPr>
        <w:pStyle w:val="FootnoteText"/>
      </w:pPr>
      <w:r>
        <w:rPr>
          <w:rStyle w:val="FootnoteReference"/>
        </w:rPr>
        <w:footnoteRef/>
      </w:r>
      <w:r>
        <w:t xml:space="preserve"> </w:t>
      </w:r>
      <w:r>
        <w:rPr>
          <w:i/>
        </w:rPr>
        <w:t>WAIT Radio</w:t>
      </w:r>
      <w:r>
        <w:t xml:space="preserve">, 418 F.2d at 1159; </w:t>
      </w:r>
      <w:r>
        <w:rPr>
          <w:i/>
        </w:rPr>
        <w:t>Northeast Cellular</w:t>
      </w:r>
      <w:r>
        <w:t xml:space="preserve">, 897 F.2d at 1166.  </w:t>
      </w:r>
    </w:p>
  </w:footnote>
  <w:footnote w:id="19">
    <w:p w14:paraId="7F0AF166" w14:textId="77777777" w:rsidR="00510714" w:rsidRPr="00A571A7" w:rsidRDefault="00547D75">
      <w:pPr>
        <w:pStyle w:val="FootnoteText"/>
      </w:pPr>
      <w:r>
        <w:rPr>
          <w:rStyle w:val="FootnoteReference"/>
        </w:rPr>
        <w:footnoteRef/>
      </w:r>
      <w:r>
        <w:t xml:space="preserve"> </w:t>
      </w:r>
      <w:r w:rsidR="00DB2F28">
        <w:rPr>
          <w:i/>
          <w:iCs/>
        </w:rPr>
        <w:t>See</w:t>
      </w:r>
      <w:r w:rsidR="00563E8C">
        <w:rPr>
          <w:i/>
          <w:iCs/>
        </w:rPr>
        <w:t xml:space="preserve"> </w:t>
      </w:r>
      <w:r w:rsidR="00563E8C" w:rsidRPr="00563E8C">
        <w:rPr>
          <w:i/>
          <w:iCs/>
        </w:rPr>
        <w:t xml:space="preserve">2025 TCPA FNPRM </w:t>
      </w:r>
      <w:r w:rsidR="00563E8C" w:rsidRPr="00563E8C">
        <w:t>at para. 10</w:t>
      </w:r>
      <w:r w:rsidR="00563E8C">
        <w:t>1.</w:t>
      </w:r>
    </w:p>
  </w:footnote>
  <w:footnote w:id="20">
    <w:p w14:paraId="61DBD728" w14:textId="77777777" w:rsidR="00380DFE" w:rsidRPr="00AC585A" w:rsidRDefault="00547D75" w:rsidP="00380DFE">
      <w:pPr>
        <w:pStyle w:val="FootnoteText"/>
      </w:pPr>
      <w:r>
        <w:rPr>
          <w:rStyle w:val="FootnoteReference"/>
        </w:rPr>
        <w:footnoteRef/>
      </w:r>
      <w:r>
        <w:t xml:space="preserve"> </w:t>
      </w:r>
      <w:r w:rsidR="00563E8C">
        <w:rPr>
          <w:i/>
          <w:iCs/>
        </w:rPr>
        <w:t>Id.</w:t>
      </w:r>
      <w:r w:rsidR="00003C6B">
        <w:t xml:space="preserve"> at paras. 101-04</w:t>
      </w:r>
      <w:r w:rsidR="00494E31">
        <w:t xml:space="preserve">; </w:t>
      </w:r>
      <w:r w:rsidR="00494E31" w:rsidRPr="00433885">
        <w:rPr>
          <w:i/>
          <w:iCs/>
        </w:rPr>
        <w:t>see also</w:t>
      </w:r>
      <w:r w:rsidR="00494E31">
        <w:t xml:space="preserve"> </w:t>
      </w:r>
      <w:r w:rsidR="00494E31" w:rsidRPr="00433885">
        <w:rPr>
          <w:i/>
          <w:iCs/>
        </w:rPr>
        <w:t>ABA/NCLC ex parte</w:t>
      </w:r>
      <w:r w:rsidR="00494E31">
        <w:t xml:space="preserve"> at 2.</w:t>
      </w:r>
    </w:p>
  </w:footnote>
  <w:footnote w:id="21">
    <w:p w14:paraId="49D9F22C" w14:textId="77777777" w:rsidR="00380DFE" w:rsidRPr="00EE4841" w:rsidRDefault="00547D75" w:rsidP="00380DFE">
      <w:pPr>
        <w:pStyle w:val="FootnoteText"/>
        <w:rPr>
          <w:lang w:val="pt-BR"/>
        </w:rPr>
      </w:pPr>
      <w:r>
        <w:rPr>
          <w:rStyle w:val="FootnoteReference"/>
        </w:rPr>
        <w:footnoteRef/>
      </w:r>
      <w:r w:rsidRPr="00D032A0">
        <w:rPr>
          <w:lang w:val="pt-BR"/>
        </w:rPr>
        <w:t xml:space="preserve"> </w:t>
      </w:r>
      <w:r w:rsidRPr="00D032A0">
        <w:rPr>
          <w:i/>
          <w:iCs/>
          <w:lang w:val="pt-BR"/>
        </w:rPr>
        <w:t xml:space="preserve">See </w:t>
      </w:r>
      <w:r w:rsidR="00EE4841">
        <w:rPr>
          <w:i/>
          <w:iCs/>
          <w:lang w:val="pt-BR"/>
        </w:rPr>
        <w:t>ABA/NCLC ex parte</w:t>
      </w:r>
      <w:r w:rsidR="00EE4841">
        <w:rPr>
          <w:lang w:val="pt-BR"/>
        </w:rPr>
        <w:t xml:space="preserve"> at 2; </w:t>
      </w:r>
      <w:r w:rsidR="00CA6891" w:rsidRPr="00CA6891">
        <w:t>Letter from ACA International, American Bankers Association, America’s Credit Unions, American Financial Services Association, Defense Credit Union Council, Bank Policy Institute, Mortgage Bankers Association, Student Loan Servicing Alliance, to Marlene H. Dortch, Secretary, FCC, at</w:t>
      </w:r>
      <w:r w:rsidR="002E689E">
        <w:t xml:space="preserve"> </w:t>
      </w:r>
      <w:r w:rsidR="007B3944">
        <w:t>1-</w:t>
      </w:r>
      <w:r w:rsidR="00CA6891" w:rsidRPr="00CA6891">
        <w:t>2 (filed Oct. 20, 2025)</w:t>
      </w:r>
      <w:r w:rsidR="002F7464">
        <w:t xml:space="preserve"> (</w:t>
      </w:r>
      <w:r w:rsidR="002F7464" w:rsidRPr="00715722">
        <w:rPr>
          <w:i/>
          <w:iCs/>
        </w:rPr>
        <w:t>ABA et al. Oct. 20</w:t>
      </w:r>
      <w:r w:rsidR="002F7464">
        <w:rPr>
          <w:i/>
          <w:iCs/>
        </w:rPr>
        <w:t xml:space="preserve"> ex parte</w:t>
      </w:r>
      <w:r w:rsidR="008357FC">
        <w:t>)</w:t>
      </w:r>
      <w:r w:rsidR="002F7464">
        <w:t>.</w:t>
      </w:r>
    </w:p>
  </w:footnote>
  <w:footnote w:id="22">
    <w:p w14:paraId="492C5741" w14:textId="77777777" w:rsidR="003A5B32" w:rsidRPr="004E708F" w:rsidRDefault="00547D75">
      <w:pPr>
        <w:pStyle w:val="FootnoteText"/>
      </w:pPr>
      <w:r>
        <w:rPr>
          <w:rStyle w:val="FootnoteReference"/>
        </w:rPr>
        <w:footnoteRef/>
      </w:r>
      <w:r>
        <w:t xml:space="preserve"> </w:t>
      </w:r>
      <w:r w:rsidR="004E708F">
        <w:rPr>
          <w:i/>
          <w:iCs/>
        </w:rPr>
        <w:t>See, e.g.</w:t>
      </w:r>
      <w:r w:rsidR="004E708F">
        <w:t>,</w:t>
      </w:r>
      <w:r w:rsidR="00967471">
        <w:t xml:space="preserve"> </w:t>
      </w:r>
      <w:r w:rsidR="0061214E">
        <w:rPr>
          <w:i/>
          <w:iCs/>
        </w:rPr>
        <w:t xml:space="preserve">Electric Utilities ex parte </w:t>
      </w:r>
      <w:r w:rsidR="0061214E">
        <w:t>at 2</w:t>
      </w:r>
      <w:r w:rsidR="00CE703E">
        <w:t xml:space="preserve">; </w:t>
      </w:r>
      <w:r w:rsidR="00A72119">
        <w:rPr>
          <w:i/>
          <w:iCs/>
        </w:rPr>
        <w:t xml:space="preserve">see also </w:t>
      </w:r>
      <w:r w:rsidR="00AF1725">
        <w:rPr>
          <w:i/>
          <w:iCs/>
        </w:rPr>
        <w:t>ABA et al. Oct 20 ex parte</w:t>
      </w:r>
      <w:r w:rsidR="00AF1725">
        <w:t xml:space="preserve"> at 2</w:t>
      </w:r>
      <w:r w:rsidR="00D03E8D">
        <w:t xml:space="preserve"> (noting that businesses must begin deploying resources very soon to comply with the current compliance date</w:t>
      </w:r>
      <w:r w:rsidR="00587CF4">
        <w:t xml:space="preserve"> and these resources may be wasted if the Commission eliminates or modifies the rule)</w:t>
      </w:r>
      <w:r w:rsidR="00D751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6E68" w14:textId="77777777" w:rsidR="00CF2B69" w:rsidRDefault="00CF2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A96E" w14:textId="77777777" w:rsidR="00D25FB5" w:rsidRDefault="00547D75" w:rsidP="00810B6F">
    <w:pPr>
      <w:pStyle w:val="Header"/>
      <w:rPr>
        <w:b w:val="0"/>
      </w:rPr>
    </w:pPr>
    <w:r>
      <w:tab/>
    </w:r>
    <w:r>
      <w:t>Federal Communications Commission</w:t>
    </w:r>
    <w:r w:rsidR="001B7F77">
      <w:tab/>
      <w:t>DA 2</w:t>
    </w:r>
    <w:r w:rsidR="00944685">
      <w:t>6</w:t>
    </w:r>
    <w:r w:rsidR="001B7F77">
      <w:t>-</w:t>
    </w:r>
    <w:r w:rsidR="00CF2B69">
      <w:t>12</w:t>
    </w:r>
  </w:p>
  <w:p w14:paraId="25AFABAB" w14:textId="77777777" w:rsidR="00D25FB5" w:rsidRDefault="00547D75">
    <w:pPr>
      <w:tabs>
        <w:tab w:val="left" w:pos="-720"/>
      </w:tabs>
      <w:suppressAutoHyphens/>
      <w:spacing w:line="19" w:lineRule="exact"/>
      <w:rPr>
        <w:spacing w:val="-2"/>
      </w:rPr>
    </w:pPr>
    <w:r>
      <w:rPr>
        <w:noProof/>
        <w:color w:val="2B579A"/>
        <w:shd w:val="clear" w:color="auto" w:fill="E6E6E6"/>
      </w:rPr>
      <mc:AlternateContent>
        <mc:Choice Requires="wps">
          <w:drawing>
            <wp:anchor distT="0" distB="0" distL="114300" distR="114300" simplePos="0" relativeHeight="251658240" behindDoc="1" locked="0" layoutInCell="0" allowOverlap="1" wp14:anchorId="673171C3" wp14:editId="6EE639E7">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14:paraId="5F597644" w14:textId="77777777" w:rsidR="00D25FB5" w:rsidRDefault="00D25FB5">
    <w:pPr>
      <w:spacing w:after="389"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AA7B" w14:textId="77777777" w:rsidR="00D25FB5" w:rsidRDefault="00547D75" w:rsidP="00810B6F">
    <w:pPr>
      <w:pStyle w:val="Header"/>
      <w:rPr>
        <w:b w:val="0"/>
      </w:rPr>
    </w:pPr>
    <w:r>
      <w:rPr>
        <w:noProof/>
        <w:color w:val="2B579A"/>
        <w:shd w:val="clear" w:color="auto" w:fill="E6E6E6"/>
      </w:rPr>
      <mc:AlternateContent>
        <mc:Choice Requires="wps">
          <w:drawing>
            <wp:anchor distT="0" distB="0" distL="114300" distR="114300" simplePos="0" relativeHeight="251660288" behindDoc="1" locked="0" layoutInCell="0" allowOverlap="1" wp14:anchorId="11483A9F" wp14:editId="1AFDA83A">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913E1D">
      <w:rPr>
        <w:spacing w:val="-2"/>
      </w:rPr>
      <w:t>DA 2</w:t>
    </w:r>
    <w:r w:rsidR="00944685">
      <w:rPr>
        <w:spacing w:val="-2"/>
      </w:rPr>
      <w:t>6</w:t>
    </w:r>
    <w:r w:rsidR="00913E1D">
      <w:rPr>
        <w:spacing w:val="-2"/>
      </w:rPr>
      <w:t>-</w:t>
    </w:r>
    <w:r w:rsidR="00CF2B69">
      <w:rPr>
        <w:spacing w:val="-2"/>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3"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15:restartNumberingAfterBreak="0">
    <w:nsid w:val="65721A72"/>
    <w:multiLevelType w:val="hybridMultilevel"/>
    <w:tmpl w:val="CBD8ACAE"/>
    <w:lvl w:ilvl="0" w:tplc="D6AAC260">
      <w:start w:val="1"/>
      <w:numFmt w:val="decimal"/>
      <w:lvlText w:val="%1)"/>
      <w:lvlJc w:val="left"/>
      <w:pPr>
        <w:tabs>
          <w:tab w:val="num" w:pos="1170"/>
        </w:tabs>
        <w:ind w:left="1170" w:hanging="360"/>
      </w:pPr>
      <w:rPr>
        <w:rFonts w:hint="default"/>
      </w:rPr>
    </w:lvl>
    <w:lvl w:ilvl="1" w:tplc="732835BE">
      <w:start w:val="1"/>
      <w:numFmt w:val="bullet"/>
      <w:lvlText w:val=""/>
      <w:lvlJc w:val="left"/>
      <w:pPr>
        <w:tabs>
          <w:tab w:val="num" w:pos="1170"/>
        </w:tabs>
        <w:ind w:left="1170" w:hanging="360"/>
      </w:pPr>
      <w:rPr>
        <w:rFonts w:ascii="Symbol" w:hAnsi="Symbol" w:hint="default"/>
      </w:rPr>
    </w:lvl>
    <w:lvl w:ilvl="2" w:tplc="1C6A5ABA" w:tentative="1">
      <w:start w:val="1"/>
      <w:numFmt w:val="bullet"/>
      <w:lvlText w:val=""/>
      <w:lvlJc w:val="left"/>
      <w:pPr>
        <w:tabs>
          <w:tab w:val="num" w:pos="2520"/>
        </w:tabs>
        <w:ind w:left="2520" w:hanging="360"/>
      </w:pPr>
      <w:rPr>
        <w:rFonts w:ascii="Wingdings" w:hAnsi="Wingdings" w:hint="default"/>
      </w:rPr>
    </w:lvl>
    <w:lvl w:ilvl="3" w:tplc="2390B196" w:tentative="1">
      <w:start w:val="1"/>
      <w:numFmt w:val="bullet"/>
      <w:lvlText w:val=""/>
      <w:lvlJc w:val="left"/>
      <w:pPr>
        <w:tabs>
          <w:tab w:val="num" w:pos="3240"/>
        </w:tabs>
        <w:ind w:left="3240" w:hanging="360"/>
      </w:pPr>
      <w:rPr>
        <w:rFonts w:ascii="Symbol" w:hAnsi="Symbol" w:hint="default"/>
      </w:rPr>
    </w:lvl>
    <w:lvl w:ilvl="4" w:tplc="40822A84" w:tentative="1">
      <w:start w:val="1"/>
      <w:numFmt w:val="bullet"/>
      <w:lvlText w:val="o"/>
      <w:lvlJc w:val="left"/>
      <w:pPr>
        <w:tabs>
          <w:tab w:val="num" w:pos="3960"/>
        </w:tabs>
        <w:ind w:left="3960" w:hanging="360"/>
      </w:pPr>
      <w:rPr>
        <w:rFonts w:ascii="Courier New" w:hAnsi="Courier New" w:cs="Courier New" w:hint="default"/>
      </w:rPr>
    </w:lvl>
    <w:lvl w:ilvl="5" w:tplc="60C6E5C8" w:tentative="1">
      <w:start w:val="1"/>
      <w:numFmt w:val="bullet"/>
      <w:lvlText w:val=""/>
      <w:lvlJc w:val="left"/>
      <w:pPr>
        <w:tabs>
          <w:tab w:val="num" w:pos="4680"/>
        </w:tabs>
        <w:ind w:left="4680" w:hanging="360"/>
      </w:pPr>
      <w:rPr>
        <w:rFonts w:ascii="Wingdings" w:hAnsi="Wingdings" w:hint="default"/>
      </w:rPr>
    </w:lvl>
    <w:lvl w:ilvl="6" w:tplc="C690403E" w:tentative="1">
      <w:start w:val="1"/>
      <w:numFmt w:val="bullet"/>
      <w:lvlText w:val=""/>
      <w:lvlJc w:val="left"/>
      <w:pPr>
        <w:tabs>
          <w:tab w:val="num" w:pos="5400"/>
        </w:tabs>
        <w:ind w:left="5400" w:hanging="360"/>
      </w:pPr>
      <w:rPr>
        <w:rFonts w:ascii="Symbol" w:hAnsi="Symbol" w:hint="default"/>
      </w:rPr>
    </w:lvl>
    <w:lvl w:ilvl="7" w:tplc="08608834" w:tentative="1">
      <w:start w:val="1"/>
      <w:numFmt w:val="bullet"/>
      <w:lvlText w:val="o"/>
      <w:lvlJc w:val="left"/>
      <w:pPr>
        <w:tabs>
          <w:tab w:val="num" w:pos="6120"/>
        </w:tabs>
        <w:ind w:left="6120" w:hanging="360"/>
      </w:pPr>
      <w:rPr>
        <w:rFonts w:ascii="Courier New" w:hAnsi="Courier New" w:cs="Courier New" w:hint="default"/>
      </w:rPr>
    </w:lvl>
    <w:lvl w:ilvl="8" w:tplc="A5285C62" w:tentative="1">
      <w:start w:val="1"/>
      <w:numFmt w:val="bullet"/>
      <w:lvlText w:val=""/>
      <w:lvlJc w:val="left"/>
      <w:pPr>
        <w:tabs>
          <w:tab w:val="num" w:pos="6840"/>
        </w:tabs>
        <w:ind w:left="6840" w:hanging="360"/>
      </w:pPr>
      <w:rPr>
        <w:rFonts w:ascii="Wingdings" w:hAnsi="Wingdings" w:hint="default"/>
      </w:rPr>
    </w:lvl>
  </w:abstractNum>
  <w:num w:numId="1" w16cid:durableId="212624156">
    <w:abstractNumId w:val="1"/>
  </w:num>
  <w:num w:numId="2" w16cid:durableId="1720939652">
    <w:abstractNumId w:val="5"/>
  </w:num>
  <w:num w:numId="3" w16cid:durableId="1027021867">
    <w:abstractNumId w:val="3"/>
  </w:num>
  <w:num w:numId="4" w16cid:durableId="1561404327">
    <w:abstractNumId w:val="4"/>
  </w:num>
  <w:num w:numId="5" w16cid:durableId="2019843525">
    <w:abstractNumId w:val="2"/>
  </w:num>
  <w:num w:numId="6" w16cid:durableId="609508022">
    <w:abstractNumId w:val="0"/>
  </w:num>
  <w:num w:numId="7" w16cid:durableId="1585144232">
    <w:abstractNumId w:val="5"/>
  </w:num>
  <w:num w:numId="8" w16cid:durableId="958221897">
    <w:abstractNumId w:val="5"/>
  </w:num>
  <w:num w:numId="9" w16cid:durableId="411706579">
    <w:abstractNumId w:val="6"/>
  </w:num>
  <w:num w:numId="10" w16cid:durableId="1376080185">
    <w:abstractNumId w:val="5"/>
    <w:lvlOverride w:ilvl="0">
      <w:startOverride w:val="1"/>
    </w:lvlOverride>
  </w:num>
  <w:num w:numId="11" w16cid:durableId="134231349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C6"/>
    <w:rsid w:val="0000032B"/>
    <w:rsid w:val="00000B13"/>
    <w:rsid w:val="00000BA7"/>
    <w:rsid w:val="00001981"/>
    <w:rsid w:val="000039A7"/>
    <w:rsid w:val="00003C6B"/>
    <w:rsid w:val="00004C05"/>
    <w:rsid w:val="00006CD7"/>
    <w:rsid w:val="000110C1"/>
    <w:rsid w:val="000112AA"/>
    <w:rsid w:val="00011F9D"/>
    <w:rsid w:val="00012111"/>
    <w:rsid w:val="00012F37"/>
    <w:rsid w:val="00013052"/>
    <w:rsid w:val="000135B3"/>
    <w:rsid w:val="00013D7D"/>
    <w:rsid w:val="00013E83"/>
    <w:rsid w:val="000155B1"/>
    <w:rsid w:val="00015714"/>
    <w:rsid w:val="00016743"/>
    <w:rsid w:val="00017673"/>
    <w:rsid w:val="000206AC"/>
    <w:rsid w:val="0002161B"/>
    <w:rsid w:val="0002167A"/>
    <w:rsid w:val="000217D3"/>
    <w:rsid w:val="00021B69"/>
    <w:rsid w:val="00022406"/>
    <w:rsid w:val="00023835"/>
    <w:rsid w:val="00023A67"/>
    <w:rsid w:val="00023F9E"/>
    <w:rsid w:val="00024950"/>
    <w:rsid w:val="00024A20"/>
    <w:rsid w:val="00024DD5"/>
    <w:rsid w:val="00026CE9"/>
    <w:rsid w:val="00030447"/>
    <w:rsid w:val="0003145C"/>
    <w:rsid w:val="00031765"/>
    <w:rsid w:val="00031D14"/>
    <w:rsid w:val="000345CF"/>
    <w:rsid w:val="00034F4A"/>
    <w:rsid w:val="00035655"/>
    <w:rsid w:val="00035E8E"/>
    <w:rsid w:val="00036039"/>
    <w:rsid w:val="0003663E"/>
    <w:rsid w:val="000375FD"/>
    <w:rsid w:val="00037F90"/>
    <w:rsid w:val="00040A81"/>
    <w:rsid w:val="0004155B"/>
    <w:rsid w:val="00041587"/>
    <w:rsid w:val="000415F2"/>
    <w:rsid w:val="00041D0C"/>
    <w:rsid w:val="00044175"/>
    <w:rsid w:val="0004449A"/>
    <w:rsid w:val="00044714"/>
    <w:rsid w:val="000448C8"/>
    <w:rsid w:val="00044B62"/>
    <w:rsid w:val="00044CEC"/>
    <w:rsid w:val="00044F7E"/>
    <w:rsid w:val="00045598"/>
    <w:rsid w:val="000456D2"/>
    <w:rsid w:val="00046C68"/>
    <w:rsid w:val="000471EE"/>
    <w:rsid w:val="00047ADB"/>
    <w:rsid w:val="00050172"/>
    <w:rsid w:val="0005056A"/>
    <w:rsid w:val="00050E3D"/>
    <w:rsid w:val="00052925"/>
    <w:rsid w:val="000533B4"/>
    <w:rsid w:val="00053C99"/>
    <w:rsid w:val="0005546C"/>
    <w:rsid w:val="000554DB"/>
    <w:rsid w:val="000555D8"/>
    <w:rsid w:val="0005561A"/>
    <w:rsid w:val="00056AC5"/>
    <w:rsid w:val="0006180A"/>
    <w:rsid w:val="00061E25"/>
    <w:rsid w:val="00061F81"/>
    <w:rsid w:val="000627DA"/>
    <w:rsid w:val="00062814"/>
    <w:rsid w:val="00064BA3"/>
    <w:rsid w:val="000661E1"/>
    <w:rsid w:val="00066730"/>
    <w:rsid w:val="0006782E"/>
    <w:rsid w:val="0007014D"/>
    <w:rsid w:val="000709C6"/>
    <w:rsid w:val="00070C01"/>
    <w:rsid w:val="00071490"/>
    <w:rsid w:val="00071C18"/>
    <w:rsid w:val="00072109"/>
    <w:rsid w:val="000721DF"/>
    <w:rsid w:val="0007255D"/>
    <w:rsid w:val="0007288E"/>
    <w:rsid w:val="00073223"/>
    <w:rsid w:val="00073A90"/>
    <w:rsid w:val="00073B41"/>
    <w:rsid w:val="00073F63"/>
    <w:rsid w:val="000749B8"/>
    <w:rsid w:val="0007529E"/>
    <w:rsid w:val="0007763E"/>
    <w:rsid w:val="00077792"/>
    <w:rsid w:val="00077B95"/>
    <w:rsid w:val="00081477"/>
    <w:rsid w:val="00081E8B"/>
    <w:rsid w:val="0008362A"/>
    <w:rsid w:val="00083850"/>
    <w:rsid w:val="00084CB0"/>
    <w:rsid w:val="000855E2"/>
    <w:rsid w:val="000856B3"/>
    <w:rsid w:val="00085C41"/>
    <w:rsid w:val="00085D18"/>
    <w:rsid w:val="00086FD9"/>
    <w:rsid w:val="000873D2"/>
    <w:rsid w:val="000875BF"/>
    <w:rsid w:val="00087C60"/>
    <w:rsid w:val="0009159D"/>
    <w:rsid w:val="00092B12"/>
    <w:rsid w:val="00093842"/>
    <w:rsid w:val="00093DB9"/>
    <w:rsid w:val="00094190"/>
    <w:rsid w:val="00094A75"/>
    <w:rsid w:val="00095488"/>
    <w:rsid w:val="00096A32"/>
    <w:rsid w:val="00096D8C"/>
    <w:rsid w:val="000A034B"/>
    <w:rsid w:val="000A054F"/>
    <w:rsid w:val="000A1701"/>
    <w:rsid w:val="000A18F6"/>
    <w:rsid w:val="000A2EAC"/>
    <w:rsid w:val="000A3429"/>
    <w:rsid w:val="000A3575"/>
    <w:rsid w:val="000A3AF8"/>
    <w:rsid w:val="000A3C58"/>
    <w:rsid w:val="000A45A8"/>
    <w:rsid w:val="000A45F5"/>
    <w:rsid w:val="000A4DFF"/>
    <w:rsid w:val="000A52F1"/>
    <w:rsid w:val="000A664B"/>
    <w:rsid w:val="000A6816"/>
    <w:rsid w:val="000A788D"/>
    <w:rsid w:val="000B04CD"/>
    <w:rsid w:val="000B2939"/>
    <w:rsid w:val="000B2A91"/>
    <w:rsid w:val="000B2E68"/>
    <w:rsid w:val="000B3279"/>
    <w:rsid w:val="000B363C"/>
    <w:rsid w:val="000B397D"/>
    <w:rsid w:val="000B46F3"/>
    <w:rsid w:val="000B4BA0"/>
    <w:rsid w:val="000B53DD"/>
    <w:rsid w:val="000B5719"/>
    <w:rsid w:val="000B58C7"/>
    <w:rsid w:val="000B5F5A"/>
    <w:rsid w:val="000B68D3"/>
    <w:rsid w:val="000B73B8"/>
    <w:rsid w:val="000C0B65"/>
    <w:rsid w:val="000C0D52"/>
    <w:rsid w:val="000C25C1"/>
    <w:rsid w:val="000C28BA"/>
    <w:rsid w:val="000C2EF0"/>
    <w:rsid w:val="000C31DC"/>
    <w:rsid w:val="000C4BC2"/>
    <w:rsid w:val="000C52B5"/>
    <w:rsid w:val="000C57AD"/>
    <w:rsid w:val="000C5866"/>
    <w:rsid w:val="000C601D"/>
    <w:rsid w:val="000C6FF9"/>
    <w:rsid w:val="000C76B8"/>
    <w:rsid w:val="000C7B13"/>
    <w:rsid w:val="000C7C06"/>
    <w:rsid w:val="000D2711"/>
    <w:rsid w:val="000D4658"/>
    <w:rsid w:val="000D4A71"/>
    <w:rsid w:val="000D4CE1"/>
    <w:rsid w:val="000D50B7"/>
    <w:rsid w:val="000D5244"/>
    <w:rsid w:val="000D5290"/>
    <w:rsid w:val="000D54B7"/>
    <w:rsid w:val="000D77C3"/>
    <w:rsid w:val="000D795F"/>
    <w:rsid w:val="000D7A63"/>
    <w:rsid w:val="000D7FDE"/>
    <w:rsid w:val="000E05FE"/>
    <w:rsid w:val="000E0700"/>
    <w:rsid w:val="000E1489"/>
    <w:rsid w:val="000E1644"/>
    <w:rsid w:val="000E1D03"/>
    <w:rsid w:val="000E3B93"/>
    <w:rsid w:val="000E3D42"/>
    <w:rsid w:val="000E467F"/>
    <w:rsid w:val="000E4EFF"/>
    <w:rsid w:val="000E4F0A"/>
    <w:rsid w:val="000E53F3"/>
    <w:rsid w:val="000E5757"/>
    <w:rsid w:val="000E57AD"/>
    <w:rsid w:val="000E58A9"/>
    <w:rsid w:val="000E5B08"/>
    <w:rsid w:val="000E6C95"/>
    <w:rsid w:val="000E6FF8"/>
    <w:rsid w:val="000E77B3"/>
    <w:rsid w:val="000F0751"/>
    <w:rsid w:val="000F0BC8"/>
    <w:rsid w:val="000F0CD0"/>
    <w:rsid w:val="000F1000"/>
    <w:rsid w:val="000F2B61"/>
    <w:rsid w:val="000F30BE"/>
    <w:rsid w:val="000F39C0"/>
    <w:rsid w:val="000F3C1E"/>
    <w:rsid w:val="000F4864"/>
    <w:rsid w:val="000F5558"/>
    <w:rsid w:val="000F561E"/>
    <w:rsid w:val="000F6167"/>
    <w:rsid w:val="000F6278"/>
    <w:rsid w:val="000F65A3"/>
    <w:rsid w:val="000F6B03"/>
    <w:rsid w:val="000F7529"/>
    <w:rsid w:val="000F7B29"/>
    <w:rsid w:val="0010043B"/>
    <w:rsid w:val="001004B5"/>
    <w:rsid w:val="00100A84"/>
    <w:rsid w:val="00102693"/>
    <w:rsid w:val="00102963"/>
    <w:rsid w:val="00103623"/>
    <w:rsid w:val="00103BAA"/>
    <w:rsid w:val="00103C65"/>
    <w:rsid w:val="00104193"/>
    <w:rsid w:val="00106CF5"/>
    <w:rsid w:val="00110283"/>
    <w:rsid w:val="00110709"/>
    <w:rsid w:val="00111B00"/>
    <w:rsid w:val="00112668"/>
    <w:rsid w:val="001134D5"/>
    <w:rsid w:val="0011447B"/>
    <w:rsid w:val="00116237"/>
    <w:rsid w:val="00116617"/>
    <w:rsid w:val="001170D9"/>
    <w:rsid w:val="00117780"/>
    <w:rsid w:val="00121F39"/>
    <w:rsid w:val="00122BD5"/>
    <w:rsid w:val="001236E8"/>
    <w:rsid w:val="001237D7"/>
    <w:rsid w:val="00123B5C"/>
    <w:rsid w:val="00123BEB"/>
    <w:rsid w:val="0012536B"/>
    <w:rsid w:val="001256F2"/>
    <w:rsid w:val="00125954"/>
    <w:rsid w:val="00125E10"/>
    <w:rsid w:val="0012733B"/>
    <w:rsid w:val="00127371"/>
    <w:rsid w:val="00127777"/>
    <w:rsid w:val="00127EEC"/>
    <w:rsid w:val="001302E0"/>
    <w:rsid w:val="001305BC"/>
    <w:rsid w:val="00130B7D"/>
    <w:rsid w:val="00131130"/>
    <w:rsid w:val="00132B76"/>
    <w:rsid w:val="00133774"/>
    <w:rsid w:val="001337BD"/>
    <w:rsid w:val="00133F79"/>
    <w:rsid w:val="001350A9"/>
    <w:rsid w:val="00136D6E"/>
    <w:rsid w:val="0013720A"/>
    <w:rsid w:val="0013726F"/>
    <w:rsid w:val="00137AD4"/>
    <w:rsid w:val="00140895"/>
    <w:rsid w:val="00142DB8"/>
    <w:rsid w:val="00142DFF"/>
    <w:rsid w:val="001430E0"/>
    <w:rsid w:val="00143243"/>
    <w:rsid w:val="00143476"/>
    <w:rsid w:val="00143F24"/>
    <w:rsid w:val="0014445E"/>
    <w:rsid w:val="00144E42"/>
    <w:rsid w:val="00146043"/>
    <w:rsid w:val="0015094A"/>
    <w:rsid w:val="00150F16"/>
    <w:rsid w:val="001521C2"/>
    <w:rsid w:val="00152791"/>
    <w:rsid w:val="001528ED"/>
    <w:rsid w:val="0015318E"/>
    <w:rsid w:val="00153531"/>
    <w:rsid w:val="00153C3B"/>
    <w:rsid w:val="00153D88"/>
    <w:rsid w:val="00153EA7"/>
    <w:rsid w:val="00154072"/>
    <w:rsid w:val="00154298"/>
    <w:rsid w:val="00154874"/>
    <w:rsid w:val="00156189"/>
    <w:rsid w:val="0015672D"/>
    <w:rsid w:val="001606EF"/>
    <w:rsid w:val="001608FD"/>
    <w:rsid w:val="00162E48"/>
    <w:rsid w:val="00165150"/>
    <w:rsid w:val="00165614"/>
    <w:rsid w:val="001673A4"/>
    <w:rsid w:val="00167B22"/>
    <w:rsid w:val="00167CDE"/>
    <w:rsid w:val="00167E36"/>
    <w:rsid w:val="0017106D"/>
    <w:rsid w:val="0017179D"/>
    <w:rsid w:val="00171FF7"/>
    <w:rsid w:val="00172A2E"/>
    <w:rsid w:val="00172B82"/>
    <w:rsid w:val="00173C32"/>
    <w:rsid w:val="00174413"/>
    <w:rsid w:val="001751B8"/>
    <w:rsid w:val="00176899"/>
    <w:rsid w:val="00176B40"/>
    <w:rsid w:val="00177626"/>
    <w:rsid w:val="001801F5"/>
    <w:rsid w:val="00180D82"/>
    <w:rsid w:val="0018185B"/>
    <w:rsid w:val="001830EB"/>
    <w:rsid w:val="00183A27"/>
    <w:rsid w:val="00183A3C"/>
    <w:rsid w:val="00183B58"/>
    <w:rsid w:val="00184887"/>
    <w:rsid w:val="00184BBF"/>
    <w:rsid w:val="0018657B"/>
    <w:rsid w:val="00186D46"/>
    <w:rsid w:val="00187894"/>
    <w:rsid w:val="0018792C"/>
    <w:rsid w:val="00187B92"/>
    <w:rsid w:val="001902DC"/>
    <w:rsid w:val="001906D1"/>
    <w:rsid w:val="00190F00"/>
    <w:rsid w:val="001911BC"/>
    <w:rsid w:val="00191D89"/>
    <w:rsid w:val="00192BE6"/>
    <w:rsid w:val="00193763"/>
    <w:rsid w:val="00193D76"/>
    <w:rsid w:val="00194A66"/>
    <w:rsid w:val="00194D8C"/>
    <w:rsid w:val="00196869"/>
    <w:rsid w:val="00196873"/>
    <w:rsid w:val="001968DA"/>
    <w:rsid w:val="00197689"/>
    <w:rsid w:val="00197706"/>
    <w:rsid w:val="001977F3"/>
    <w:rsid w:val="001A04BA"/>
    <w:rsid w:val="001A1B9A"/>
    <w:rsid w:val="001A3276"/>
    <w:rsid w:val="001A4025"/>
    <w:rsid w:val="001A49EF"/>
    <w:rsid w:val="001A4B9A"/>
    <w:rsid w:val="001A5251"/>
    <w:rsid w:val="001A6238"/>
    <w:rsid w:val="001A7165"/>
    <w:rsid w:val="001A7764"/>
    <w:rsid w:val="001B04A8"/>
    <w:rsid w:val="001B07CA"/>
    <w:rsid w:val="001B1281"/>
    <w:rsid w:val="001B1860"/>
    <w:rsid w:val="001B2192"/>
    <w:rsid w:val="001B230E"/>
    <w:rsid w:val="001B4305"/>
    <w:rsid w:val="001B512D"/>
    <w:rsid w:val="001B5226"/>
    <w:rsid w:val="001B5DFE"/>
    <w:rsid w:val="001B68D7"/>
    <w:rsid w:val="001B7F77"/>
    <w:rsid w:val="001C054D"/>
    <w:rsid w:val="001C082B"/>
    <w:rsid w:val="001C11E5"/>
    <w:rsid w:val="001C12C2"/>
    <w:rsid w:val="001C2FBA"/>
    <w:rsid w:val="001C4394"/>
    <w:rsid w:val="001C45E6"/>
    <w:rsid w:val="001C4831"/>
    <w:rsid w:val="001C4A46"/>
    <w:rsid w:val="001C4E60"/>
    <w:rsid w:val="001C5809"/>
    <w:rsid w:val="001C5935"/>
    <w:rsid w:val="001C695F"/>
    <w:rsid w:val="001C7451"/>
    <w:rsid w:val="001C7EEB"/>
    <w:rsid w:val="001D0F09"/>
    <w:rsid w:val="001D1466"/>
    <w:rsid w:val="001D1E8A"/>
    <w:rsid w:val="001D2500"/>
    <w:rsid w:val="001D3178"/>
    <w:rsid w:val="001D4C23"/>
    <w:rsid w:val="001D5578"/>
    <w:rsid w:val="001D5FD8"/>
    <w:rsid w:val="001D6186"/>
    <w:rsid w:val="001D62A3"/>
    <w:rsid w:val="001D6BCF"/>
    <w:rsid w:val="001D73BE"/>
    <w:rsid w:val="001E01CA"/>
    <w:rsid w:val="001E1029"/>
    <w:rsid w:val="001E12FF"/>
    <w:rsid w:val="001E2618"/>
    <w:rsid w:val="001E2E1A"/>
    <w:rsid w:val="001E3137"/>
    <w:rsid w:val="001E3190"/>
    <w:rsid w:val="001E31AD"/>
    <w:rsid w:val="001E3345"/>
    <w:rsid w:val="001E3A6C"/>
    <w:rsid w:val="001E47B1"/>
    <w:rsid w:val="001E55BE"/>
    <w:rsid w:val="001E6174"/>
    <w:rsid w:val="001F006B"/>
    <w:rsid w:val="001F02CE"/>
    <w:rsid w:val="001F1C6A"/>
    <w:rsid w:val="001F223B"/>
    <w:rsid w:val="001F28C9"/>
    <w:rsid w:val="001F2DAE"/>
    <w:rsid w:val="001F3090"/>
    <w:rsid w:val="001F323E"/>
    <w:rsid w:val="001F3C5B"/>
    <w:rsid w:val="001F3D06"/>
    <w:rsid w:val="001F444F"/>
    <w:rsid w:val="001F46DC"/>
    <w:rsid w:val="001F4C9C"/>
    <w:rsid w:val="001F504D"/>
    <w:rsid w:val="001F5F1C"/>
    <w:rsid w:val="001F7354"/>
    <w:rsid w:val="001F73CC"/>
    <w:rsid w:val="001F744A"/>
    <w:rsid w:val="001F7B4F"/>
    <w:rsid w:val="001F7FB8"/>
    <w:rsid w:val="0020064A"/>
    <w:rsid w:val="002025B9"/>
    <w:rsid w:val="00203A19"/>
    <w:rsid w:val="00204398"/>
    <w:rsid w:val="002043FB"/>
    <w:rsid w:val="00205EFB"/>
    <w:rsid w:val="0020799C"/>
    <w:rsid w:val="00207A0F"/>
    <w:rsid w:val="00207BB0"/>
    <w:rsid w:val="0021051E"/>
    <w:rsid w:val="00211BA6"/>
    <w:rsid w:val="00211BF2"/>
    <w:rsid w:val="00211EC5"/>
    <w:rsid w:val="002124C0"/>
    <w:rsid w:val="00212960"/>
    <w:rsid w:val="00212E16"/>
    <w:rsid w:val="00214A47"/>
    <w:rsid w:val="00215438"/>
    <w:rsid w:val="00216950"/>
    <w:rsid w:val="00217251"/>
    <w:rsid w:val="002204AE"/>
    <w:rsid w:val="00220ADB"/>
    <w:rsid w:val="00220C20"/>
    <w:rsid w:val="00223E19"/>
    <w:rsid w:val="00223E75"/>
    <w:rsid w:val="0022459A"/>
    <w:rsid w:val="0022467F"/>
    <w:rsid w:val="00225669"/>
    <w:rsid w:val="00225A2A"/>
    <w:rsid w:val="00225DA1"/>
    <w:rsid w:val="002260C4"/>
    <w:rsid w:val="00227979"/>
    <w:rsid w:val="00227B74"/>
    <w:rsid w:val="002310CD"/>
    <w:rsid w:val="00231F74"/>
    <w:rsid w:val="00232C1F"/>
    <w:rsid w:val="002336DE"/>
    <w:rsid w:val="002339A7"/>
    <w:rsid w:val="00233B03"/>
    <w:rsid w:val="00233DB4"/>
    <w:rsid w:val="00234149"/>
    <w:rsid w:val="002349B4"/>
    <w:rsid w:val="00235449"/>
    <w:rsid w:val="002367D6"/>
    <w:rsid w:val="00236DFC"/>
    <w:rsid w:val="00236E71"/>
    <w:rsid w:val="00241453"/>
    <w:rsid w:val="0024344C"/>
    <w:rsid w:val="00244644"/>
    <w:rsid w:val="00245CA6"/>
    <w:rsid w:val="002460AF"/>
    <w:rsid w:val="002463BB"/>
    <w:rsid w:val="002505EF"/>
    <w:rsid w:val="00251135"/>
    <w:rsid w:val="002518CE"/>
    <w:rsid w:val="002519A4"/>
    <w:rsid w:val="00251D97"/>
    <w:rsid w:val="00253178"/>
    <w:rsid w:val="002539BB"/>
    <w:rsid w:val="00254117"/>
    <w:rsid w:val="0025422B"/>
    <w:rsid w:val="00254A30"/>
    <w:rsid w:val="00254ACE"/>
    <w:rsid w:val="00254CBF"/>
    <w:rsid w:val="0025668D"/>
    <w:rsid w:val="00260607"/>
    <w:rsid w:val="00260CBF"/>
    <w:rsid w:val="00261588"/>
    <w:rsid w:val="00262A31"/>
    <w:rsid w:val="002645C4"/>
    <w:rsid w:val="00264B19"/>
    <w:rsid w:val="00265633"/>
    <w:rsid w:val="00267765"/>
    <w:rsid w:val="0027130B"/>
    <w:rsid w:val="00273006"/>
    <w:rsid w:val="0027374C"/>
    <w:rsid w:val="00275CF5"/>
    <w:rsid w:val="002811FB"/>
    <w:rsid w:val="0028184C"/>
    <w:rsid w:val="00281B0D"/>
    <w:rsid w:val="00281DC2"/>
    <w:rsid w:val="002824AC"/>
    <w:rsid w:val="00282C01"/>
    <w:rsid w:val="00282D45"/>
    <w:rsid w:val="0028301F"/>
    <w:rsid w:val="0028381D"/>
    <w:rsid w:val="002843C6"/>
    <w:rsid w:val="00284471"/>
    <w:rsid w:val="00285017"/>
    <w:rsid w:val="00285402"/>
    <w:rsid w:val="00285FE1"/>
    <w:rsid w:val="002869B7"/>
    <w:rsid w:val="00286B17"/>
    <w:rsid w:val="002879FA"/>
    <w:rsid w:val="00290661"/>
    <w:rsid w:val="002906B6"/>
    <w:rsid w:val="00292CF6"/>
    <w:rsid w:val="002933A5"/>
    <w:rsid w:val="00294337"/>
    <w:rsid w:val="00294948"/>
    <w:rsid w:val="00295042"/>
    <w:rsid w:val="002953A2"/>
    <w:rsid w:val="00295450"/>
    <w:rsid w:val="002961D1"/>
    <w:rsid w:val="00296E1C"/>
    <w:rsid w:val="002972E0"/>
    <w:rsid w:val="00297BCA"/>
    <w:rsid w:val="002A209B"/>
    <w:rsid w:val="002A2D2E"/>
    <w:rsid w:val="002A2F87"/>
    <w:rsid w:val="002A3E68"/>
    <w:rsid w:val="002A47EB"/>
    <w:rsid w:val="002A4D21"/>
    <w:rsid w:val="002A5218"/>
    <w:rsid w:val="002A5D2A"/>
    <w:rsid w:val="002A740E"/>
    <w:rsid w:val="002A7454"/>
    <w:rsid w:val="002B0098"/>
    <w:rsid w:val="002B0652"/>
    <w:rsid w:val="002B0C93"/>
    <w:rsid w:val="002B15D5"/>
    <w:rsid w:val="002B1743"/>
    <w:rsid w:val="002B1B8D"/>
    <w:rsid w:val="002B1E22"/>
    <w:rsid w:val="002B2C2E"/>
    <w:rsid w:val="002B3942"/>
    <w:rsid w:val="002B4202"/>
    <w:rsid w:val="002B42AD"/>
    <w:rsid w:val="002B42D9"/>
    <w:rsid w:val="002B450D"/>
    <w:rsid w:val="002B5D5B"/>
    <w:rsid w:val="002B6537"/>
    <w:rsid w:val="002B6AD8"/>
    <w:rsid w:val="002B6EE8"/>
    <w:rsid w:val="002C00B3"/>
    <w:rsid w:val="002C00E8"/>
    <w:rsid w:val="002C0488"/>
    <w:rsid w:val="002C057F"/>
    <w:rsid w:val="002C09CC"/>
    <w:rsid w:val="002C1940"/>
    <w:rsid w:val="002C5EFD"/>
    <w:rsid w:val="002C64BB"/>
    <w:rsid w:val="002C69F4"/>
    <w:rsid w:val="002C7118"/>
    <w:rsid w:val="002C7B81"/>
    <w:rsid w:val="002D0245"/>
    <w:rsid w:val="002D0FB4"/>
    <w:rsid w:val="002D19E9"/>
    <w:rsid w:val="002D2AF5"/>
    <w:rsid w:val="002D34C4"/>
    <w:rsid w:val="002D3D6A"/>
    <w:rsid w:val="002D3DE2"/>
    <w:rsid w:val="002D4160"/>
    <w:rsid w:val="002D498D"/>
    <w:rsid w:val="002D51D1"/>
    <w:rsid w:val="002D5566"/>
    <w:rsid w:val="002D59A7"/>
    <w:rsid w:val="002D61CF"/>
    <w:rsid w:val="002D6246"/>
    <w:rsid w:val="002D7845"/>
    <w:rsid w:val="002E0876"/>
    <w:rsid w:val="002E1179"/>
    <w:rsid w:val="002E126D"/>
    <w:rsid w:val="002E1395"/>
    <w:rsid w:val="002E14F4"/>
    <w:rsid w:val="002E1DFC"/>
    <w:rsid w:val="002E28A0"/>
    <w:rsid w:val="002E3247"/>
    <w:rsid w:val="002E33BD"/>
    <w:rsid w:val="002E345E"/>
    <w:rsid w:val="002E36B3"/>
    <w:rsid w:val="002E36BB"/>
    <w:rsid w:val="002E449D"/>
    <w:rsid w:val="002E48C0"/>
    <w:rsid w:val="002E5053"/>
    <w:rsid w:val="002E5928"/>
    <w:rsid w:val="002E689E"/>
    <w:rsid w:val="002E79CC"/>
    <w:rsid w:val="002F0328"/>
    <w:rsid w:val="002F0834"/>
    <w:rsid w:val="002F0FF9"/>
    <w:rsid w:val="002F2B74"/>
    <w:rsid w:val="002F30C0"/>
    <w:rsid w:val="002F374B"/>
    <w:rsid w:val="002F3F39"/>
    <w:rsid w:val="002F449B"/>
    <w:rsid w:val="002F4A29"/>
    <w:rsid w:val="002F4C4C"/>
    <w:rsid w:val="002F6F63"/>
    <w:rsid w:val="002F7150"/>
    <w:rsid w:val="002F7464"/>
    <w:rsid w:val="003002D3"/>
    <w:rsid w:val="003003D0"/>
    <w:rsid w:val="00300617"/>
    <w:rsid w:val="003041CA"/>
    <w:rsid w:val="0030437B"/>
    <w:rsid w:val="00304801"/>
    <w:rsid w:val="00304AA2"/>
    <w:rsid w:val="00305E51"/>
    <w:rsid w:val="00305FDB"/>
    <w:rsid w:val="003062E3"/>
    <w:rsid w:val="003068A1"/>
    <w:rsid w:val="00307AE3"/>
    <w:rsid w:val="0031172D"/>
    <w:rsid w:val="003131F9"/>
    <w:rsid w:val="003135C2"/>
    <w:rsid w:val="003151CE"/>
    <w:rsid w:val="0031531B"/>
    <w:rsid w:val="003158F2"/>
    <w:rsid w:val="00315BB5"/>
    <w:rsid w:val="00316F3D"/>
    <w:rsid w:val="003178EB"/>
    <w:rsid w:val="00317B7D"/>
    <w:rsid w:val="0032120D"/>
    <w:rsid w:val="00321962"/>
    <w:rsid w:val="00321A5A"/>
    <w:rsid w:val="00321CE8"/>
    <w:rsid w:val="00321EA7"/>
    <w:rsid w:val="00321F89"/>
    <w:rsid w:val="003221ED"/>
    <w:rsid w:val="00322212"/>
    <w:rsid w:val="00322797"/>
    <w:rsid w:val="00322C74"/>
    <w:rsid w:val="00322DF0"/>
    <w:rsid w:val="003231BF"/>
    <w:rsid w:val="00325070"/>
    <w:rsid w:val="003254DC"/>
    <w:rsid w:val="00327C67"/>
    <w:rsid w:val="00330B04"/>
    <w:rsid w:val="00330CC6"/>
    <w:rsid w:val="003315BC"/>
    <w:rsid w:val="00331931"/>
    <w:rsid w:val="00331EB6"/>
    <w:rsid w:val="003321E8"/>
    <w:rsid w:val="00333078"/>
    <w:rsid w:val="0033330A"/>
    <w:rsid w:val="003336D2"/>
    <w:rsid w:val="00333B77"/>
    <w:rsid w:val="0033446E"/>
    <w:rsid w:val="003344F0"/>
    <w:rsid w:val="00334506"/>
    <w:rsid w:val="0033655F"/>
    <w:rsid w:val="003365A6"/>
    <w:rsid w:val="00336833"/>
    <w:rsid w:val="003368FF"/>
    <w:rsid w:val="00337A2C"/>
    <w:rsid w:val="003402AE"/>
    <w:rsid w:val="0034034F"/>
    <w:rsid w:val="003411FF"/>
    <w:rsid w:val="00343665"/>
    <w:rsid w:val="00343749"/>
    <w:rsid w:val="003441FC"/>
    <w:rsid w:val="00344601"/>
    <w:rsid w:val="00345948"/>
    <w:rsid w:val="00347ECF"/>
    <w:rsid w:val="00351F97"/>
    <w:rsid w:val="003535C6"/>
    <w:rsid w:val="00353E0E"/>
    <w:rsid w:val="00356125"/>
    <w:rsid w:val="003563A9"/>
    <w:rsid w:val="00356954"/>
    <w:rsid w:val="0035698A"/>
    <w:rsid w:val="00356EFD"/>
    <w:rsid w:val="00357645"/>
    <w:rsid w:val="00357A5B"/>
    <w:rsid w:val="003600C0"/>
    <w:rsid w:val="003614C1"/>
    <w:rsid w:val="003617B6"/>
    <w:rsid w:val="00361882"/>
    <w:rsid w:val="00361977"/>
    <w:rsid w:val="00361994"/>
    <w:rsid w:val="00361B17"/>
    <w:rsid w:val="003622C6"/>
    <w:rsid w:val="003626AD"/>
    <w:rsid w:val="0036298A"/>
    <w:rsid w:val="00362CBA"/>
    <w:rsid w:val="00362FDC"/>
    <w:rsid w:val="00363080"/>
    <w:rsid w:val="00363AA2"/>
    <w:rsid w:val="00364316"/>
    <w:rsid w:val="00364460"/>
    <w:rsid w:val="003646A8"/>
    <w:rsid w:val="00364FF0"/>
    <w:rsid w:val="003659B7"/>
    <w:rsid w:val="00365F1D"/>
    <w:rsid w:val="003660ED"/>
    <w:rsid w:val="003665F6"/>
    <w:rsid w:val="0036770F"/>
    <w:rsid w:val="003704B4"/>
    <w:rsid w:val="00371519"/>
    <w:rsid w:val="003721BA"/>
    <w:rsid w:val="00372999"/>
    <w:rsid w:val="00373430"/>
    <w:rsid w:val="00373518"/>
    <w:rsid w:val="00373764"/>
    <w:rsid w:val="00374023"/>
    <w:rsid w:val="003745BB"/>
    <w:rsid w:val="0037467D"/>
    <w:rsid w:val="00375009"/>
    <w:rsid w:val="0037610B"/>
    <w:rsid w:val="003770E0"/>
    <w:rsid w:val="003774A8"/>
    <w:rsid w:val="0038001B"/>
    <w:rsid w:val="00380744"/>
    <w:rsid w:val="00380DFE"/>
    <w:rsid w:val="00380E9F"/>
    <w:rsid w:val="003813DD"/>
    <w:rsid w:val="003815D3"/>
    <w:rsid w:val="00381E2D"/>
    <w:rsid w:val="00381FBF"/>
    <w:rsid w:val="003820EC"/>
    <w:rsid w:val="00382488"/>
    <w:rsid w:val="003854DC"/>
    <w:rsid w:val="00385B8D"/>
    <w:rsid w:val="0038771E"/>
    <w:rsid w:val="00387B39"/>
    <w:rsid w:val="00387D86"/>
    <w:rsid w:val="00390549"/>
    <w:rsid w:val="00390718"/>
    <w:rsid w:val="00390791"/>
    <w:rsid w:val="0039266B"/>
    <w:rsid w:val="00392E5B"/>
    <w:rsid w:val="0039354D"/>
    <w:rsid w:val="0039367F"/>
    <w:rsid w:val="00394291"/>
    <w:rsid w:val="0039492B"/>
    <w:rsid w:val="00394CEB"/>
    <w:rsid w:val="00396861"/>
    <w:rsid w:val="00396E81"/>
    <w:rsid w:val="00397201"/>
    <w:rsid w:val="0039780E"/>
    <w:rsid w:val="00397A73"/>
    <w:rsid w:val="003A0183"/>
    <w:rsid w:val="003A40F9"/>
    <w:rsid w:val="003A5B32"/>
    <w:rsid w:val="003A5F71"/>
    <w:rsid w:val="003A67E5"/>
    <w:rsid w:val="003A7261"/>
    <w:rsid w:val="003B0436"/>
    <w:rsid w:val="003B0550"/>
    <w:rsid w:val="003B0B53"/>
    <w:rsid w:val="003B0EA9"/>
    <w:rsid w:val="003B17DB"/>
    <w:rsid w:val="003B181E"/>
    <w:rsid w:val="003B19CD"/>
    <w:rsid w:val="003B2235"/>
    <w:rsid w:val="003B25DB"/>
    <w:rsid w:val="003B30FE"/>
    <w:rsid w:val="003B5450"/>
    <w:rsid w:val="003B5AA4"/>
    <w:rsid w:val="003B694F"/>
    <w:rsid w:val="003C0848"/>
    <w:rsid w:val="003C0B19"/>
    <w:rsid w:val="003C1B64"/>
    <w:rsid w:val="003C23B8"/>
    <w:rsid w:val="003C34E0"/>
    <w:rsid w:val="003C36AD"/>
    <w:rsid w:val="003C3CD1"/>
    <w:rsid w:val="003C3EB4"/>
    <w:rsid w:val="003C4647"/>
    <w:rsid w:val="003C4CC9"/>
    <w:rsid w:val="003C58DF"/>
    <w:rsid w:val="003C591F"/>
    <w:rsid w:val="003C5E5C"/>
    <w:rsid w:val="003C7604"/>
    <w:rsid w:val="003C7CD5"/>
    <w:rsid w:val="003C7D7B"/>
    <w:rsid w:val="003D134C"/>
    <w:rsid w:val="003D2C15"/>
    <w:rsid w:val="003D2D1F"/>
    <w:rsid w:val="003D49F1"/>
    <w:rsid w:val="003D5535"/>
    <w:rsid w:val="003D55EF"/>
    <w:rsid w:val="003D5C4C"/>
    <w:rsid w:val="003D5D4C"/>
    <w:rsid w:val="003D6784"/>
    <w:rsid w:val="003D6F83"/>
    <w:rsid w:val="003D709D"/>
    <w:rsid w:val="003E0B73"/>
    <w:rsid w:val="003E1552"/>
    <w:rsid w:val="003E16DD"/>
    <w:rsid w:val="003E172C"/>
    <w:rsid w:val="003E1D23"/>
    <w:rsid w:val="003E1EA7"/>
    <w:rsid w:val="003E28EC"/>
    <w:rsid w:val="003E389F"/>
    <w:rsid w:val="003E3974"/>
    <w:rsid w:val="003E3A84"/>
    <w:rsid w:val="003E49CA"/>
    <w:rsid w:val="003E51D7"/>
    <w:rsid w:val="003E54D6"/>
    <w:rsid w:val="003E6857"/>
    <w:rsid w:val="003E7D7D"/>
    <w:rsid w:val="003F0689"/>
    <w:rsid w:val="003F115A"/>
    <w:rsid w:val="003F16DA"/>
    <w:rsid w:val="003F171C"/>
    <w:rsid w:val="003F1765"/>
    <w:rsid w:val="003F4298"/>
    <w:rsid w:val="003F47E4"/>
    <w:rsid w:val="003F4ACE"/>
    <w:rsid w:val="003F4CE1"/>
    <w:rsid w:val="003F53C4"/>
    <w:rsid w:val="003F5A8D"/>
    <w:rsid w:val="003F6359"/>
    <w:rsid w:val="003F650F"/>
    <w:rsid w:val="003F7188"/>
    <w:rsid w:val="003F7440"/>
    <w:rsid w:val="003F76E5"/>
    <w:rsid w:val="00401312"/>
    <w:rsid w:val="00401899"/>
    <w:rsid w:val="00402899"/>
    <w:rsid w:val="00402B43"/>
    <w:rsid w:val="00402D0B"/>
    <w:rsid w:val="00403C05"/>
    <w:rsid w:val="004044B0"/>
    <w:rsid w:val="00404575"/>
    <w:rsid w:val="004052B9"/>
    <w:rsid w:val="00407CF4"/>
    <w:rsid w:val="00410DED"/>
    <w:rsid w:val="00411893"/>
    <w:rsid w:val="0041191B"/>
    <w:rsid w:val="00412497"/>
    <w:rsid w:val="00412B0F"/>
    <w:rsid w:val="00412FC5"/>
    <w:rsid w:val="00413C03"/>
    <w:rsid w:val="00413E98"/>
    <w:rsid w:val="0041417D"/>
    <w:rsid w:val="004147E7"/>
    <w:rsid w:val="004155B4"/>
    <w:rsid w:val="00416597"/>
    <w:rsid w:val="00416F36"/>
    <w:rsid w:val="00417223"/>
    <w:rsid w:val="00417D6A"/>
    <w:rsid w:val="0042019B"/>
    <w:rsid w:val="004206F4"/>
    <w:rsid w:val="004217C9"/>
    <w:rsid w:val="00422276"/>
    <w:rsid w:val="004242F1"/>
    <w:rsid w:val="00424711"/>
    <w:rsid w:val="00424E64"/>
    <w:rsid w:val="004252C7"/>
    <w:rsid w:val="0042534F"/>
    <w:rsid w:val="00427695"/>
    <w:rsid w:val="00427AE5"/>
    <w:rsid w:val="00427AEC"/>
    <w:rsid w:val="00430746"/>
    <w:rsid w:val="00431662"/>
    <w:rsid w:val="00431A31"/>
    <w:rsid w:val="0043285D"/>
    <w:rsid w:val="00433885"/>
    <w:rsid w:val="00433E7C"/>
    <w:rsid w:val="00433EC6"/>
    <w:rsid w:val="00434203"/>
    <w:rsid w:val="00435C1C"/>
    <w:rsid w:val="00436E52"/>
    <w:rsid w:val="00440A70"/>
    <w:rsid w:val="0044112E"/>
    <w:rsid w:val="00441542"/>
    <w:rsid w:val="00441BCB"/>
    <w:rsid w:val="00441C6B"/>
    <w:rsid w:val="004439F6"/>
    <w:rsid w:val="00443E06"/>
    <w:rsid w:val="00443F1D"/>
    <w:rsid w:val="00443F54"/>
    <w:rsid w:val="00445A00"/>
    <w:rsid w:val="00445B9C"/>
    <w:rsid w:val="00446578"/>
    <w:rsid w:val="004502B7"/>
    <w:rsid w:val="00450D0C"/>
    <w:rsid w:val="00451284"/>
    <w:rsid w:val="00451B0F"/>
    <w:rsid w:val="004532E0"/>
    <w:rsid w:val="00453D81"/>
    <w:rsid w:val="00453FC0"/>
    <w:rsid w:val="00455518"/>
    <w:rsid w:val="004556D3"/>
    <w:rsid w:val="004563BC"/>
    <w:rsid w:val="00457929"/>
    <w:rsid w:val="00457A4B"/>
    <w:rsid w:val="00457E6F"/>
    <w:rsid w:val="0046086F"/>
    <w:rsid w:val="00460B26"/>
    <w:rsid w:val="00460EE7"/>
    <w:rsid w:val="004623C9"/>
    <w:rsid w:val="00462505"/>
    <w:rsid w:val="004627C6"/>
    <w:rsid w:val="00462A41"/>
    <w:rsid w:val="00462E16"/>
    <w:rsid w:val="0046339E"/>
    <w:rsid w:val="00463E00"/>
    <w:rsid w:val="00464CD5"/>
    <w:rsid w:val="00465462"/>
    <w:rsid w:val="004659BE"/>
    <w:rsid w:val="004659F5"/>
    <w:rsid w:val="00465BBF"/>
    <w:rsid w:val="0046789F"/>
    <w:rsid w:val="00467DE4"/>
    <w:rsid w:val="0047058D"/>
    <w:rsid w:val="00470B41"/>
    <w:rsid w:val="00470B7C"/>
    <w:rsid w:val="00470F7C"/>
    <w:rsid w:val="004717DA"/>
    <w:rsid w:val="00471AD2"/>
    <w:rsid w:val="00471FAA"/>
    <w:rsid w:val="00472064"/>
    <w:rsid w:val="004730F4"/>
    <w:rsid w:val="00474ED5"/>
    <w:rsid w:val="00480955"/>
    <w:rsid w:val="0048102D"/>
    <w:rsid w:val="00481079"/>
    <w:rsid w:val="004815D9"/>
    <w:rsid w:val="0048407A"/>
    <w:rsid w:val="0048625D"/>
    <w:rsid w:val="00486918"/>
    <w:rsid w:val="00486B32"/>
    <w:rsid w:val="0048749D"/>
    <w:rsid w:val="00487A86"/>
    <w:rsid w:val="00490063"/>
    <w:rsid w:val="00490774"/>
    <w:rsid w:val="0049077C"/>
    <w:rsid w:val="00491AA3"/>
    <w:rsid w:val="00491E17"/>
    <w:rsid w:val="0049226B"/>
    <w:rsid w:val="0049244A"/>
    <w:rsid w:val="00492614"/>
    <w:rsid w:val="00493215"/>
    <w:rsid w:val="00493FAB"/>
    <w:rsid w:val="00494E31"/>
    <w:rsid w:val="00495E71"/>
    <w:rsid w:val="0049735B"/>
    <w:rsid w:val="00497D7A"/>
    <w:rsid w:val="004A0B0C"/>
    <w:rsid w:val="004A10A7"/>
    <w:rsid w:val="004A1449"/>
    <w:rsid w:val="004A1454"/>
    <w:rsid w:val="004A1865"/>
    <w:rsid w:val="004A1A1F"/>
    <w:rsid w:val="004A2465"/>
    <w:rsid w:val="004A4BB2"/>
    <w:rsid w:val="004A60EA"/>
    <w:rsid w:val="004A689B"/>
    <w:rsid w:val="004A6A73"/>
    <w:rsid w:val="004A6ED5"/>
    <w:rsid w:val="004A7CF1"/>
    <w:rsid w:val="004B002A"/>
    <w:rsid w:val="004B026A"/>
    <w:rsid w:val="004B0E03"/>
    <w:rsid w:val="004B0F9D"/>
    <w:rsid w:val="004B1846"/>
    <w:rsid w:val="004B1C0C"/>
    <w:rsid w:val="004B34EC"/>
    <w:rsid w:val="004B39AE"/>
    <w:rsid w:val="004B3C29"/>
    <w:rsid w:val="004B445E"/>
    <w:rsid w:val="004B4635"/>
    <w:rsid w:val="004B4FB7"/>
    <w:rsid w:val="004B6B1C"/>
    <w:rsid w:val="004B6C3F"/>
    <w:rsid w:val="004B76B9"/>
    <w:rsid w:val="004B7FFD"/>
    <w:rsid w:val="004C0621"/>
    <w:rsid w:val="004C171F"/>
    <w:rsid w:val="004C1BCA"/>
    <w:rsid w:val="004C2A2C"/>
    <w:rsid w:val="004C2D88"/>
    <w:rsid w:val="004C2EE3"/>
    <w:rsid w:val="004C3C92"/>
    <w:rsid w:val="004C466D"/>
    <w:rsid w:val="004C4793"/>
    <w:rsid w:val="004C57DF"/>
    <w:rsid w:val="004C699C"/>
    <w:rsid w:val="004C7EF5"/>
    <w:rsid w:val="004D06B2"/>
    <w:rsid w:val="004D0751"/>
    <w:rsid w:val="004D18F3"/>
    <w:rsid w:val="004D1F1D"/>
    <w:rsid w:val="004D3DBE"/>
    <w:rsid w:val="004D780E"/>
    <w:rsid w:val="004E0592"/>
    <w:rsid w:val="004E0773"/>
    <w:rsid w:val="004E092C"/>
    <w:rsid w:val="004E24BD"/>
    <w:rsid w:val="004E3653"/>
    <w:rsid w:val="004E3682"/>
    <w:rsid w:val="004E4853"/>
    <w:rsid w:val="004E4A22"/>
    <w:rsid w:val="004E4C52"/>
    <w:rsid w:val="004E5A7F"/>
    <w:rsid w:val="004E708F"/>
    <w:rsid w:val="004E7C26"/>
    <w:rsid w:val="004E7D5B"/>
    <w:rsid w:val="004F2136"/>
    <w:rsid w:val="004F2178"/>
    <w:rsid w:val="004F2A3D"/>
    <w:rsid w:val="004F2ADA"/>
    <w:rsid w:val="004F559B"/>
    <w:rsid w:val="004F576E"/>
    <w:rsid w:val="004F593A"/>
    <w:rsid w:val="004F5D38"/>
    <w:rsid w:val="004F601B"/>
    <w:rsid w:val="004F6076"/>
    <w:rsid w:val="004F7139"/>
    <w:rsid w:val="004F7767"/>
    <w:rsid w:val="004F7D72"/>
    <w:rsid w:val="00500ACD"/>
    <w:rsid w:val="00500F53"/>
    <w:rsid w:val="00502082"/>
    <w:rsid w:val="00502CB9"/>
    <w:rsid w:val="00503BA7"/>
    <w:rsid w:val="00504387"/>
    <w:rsid w:val="00504D23"/>
    <w:rsid w:val="00505EB0"/>
    <w:rsid w:val="00507AFB"/>
    <w:rsid w:val="00510714"/>
    <w:rsid w:val="005114C7"/>
    <w:rsid w:val="00511968"/>
    <w:rsid w:val="00512221"/>
    <w:rsid w:val="00512DEE"/>
    <w:rsid w:val="00512F4D"/>
    <w:rsid w:val="00513045"/>
    <w:rsid w:val="00513544"/>
    <w:rsid w:val="00513B0D"/>
    <w:rsid w:val="00513DDB"/>
    <w:rsid w:val="00515448"/>
    <w:rsid w:val="0051593F"/>
    <w:rsid w:val="00515A56"/>
    <w:rsid w:val="00515BFB"/>
    <w:rsid w:val="00515E2B"/>
    <w:rsid w:val="0052072D"/>
    <w:rsid w:val="00521803"/>
    <w:rsid w:val="00521CF1"/>
    <w:rsid w:val="0052287B"/>
    <w:rsid w:val="0052299F"/>
    <w:rsid w:val="00522E45"/>
    <w:rsid w:val="00523314"/>
    <w:rsid w:val="00523EE0"/>
    <w:rsid w:val="00524754"/>
    <w:rsid w:val="0052495B"/>
    <w:rsid w:val="005265D2"/>
    <w:rsid w:val="00526719"/>
    <w:rsid w:val="0052714C"/>
    <w:rsid w:val="0052739A"/>
    <w:rsid w:val="005278E1"/>
    <w:rsid w:val="005279A6"/>
    <w:rsid w:val="00527B2B"/>
    <w:rsid w:val="00527DAE"/>
    <w:rsid w:val="00530919"/>
    <w:rsid w:val="00530CF3"/>
    <w:rsid w:val="00534200"/>
    <w:rsid w:val="00534C2D"/>
    <w:rsid w:val="005360D7"/>
    <w:rsid w:val="00536114"/>
    <w:rsid w:val="005365BC"/>
    <w:rsid w:val="00536732"/>
    <w:rsid w:val="0053690B"/>
    <w:rsid w:val="00536CF9"/>
    <w:rsid w:val="005371FE"/>
    <w:rsid w:val="005374E0"/>
    <w:rsid w:val="0053775E"/>
    <w:rsid w:val="0053776F"/>
    <w:rsid w:val="00540900"/>
    <w:rsid w:val="00541177"/>
    <w:rsid w:val="00542035"/>
    <w:rsid w:val="00542D35"/>
    <w:rsid w:val="00543106"/>
    <w:rsid w:val="00546F4A"/>
    <w:rsid w:val="00547D75"/>
    <w:rsid w:val="00550269"/>
    <w:rsid w:val="005505F4"/>
    <w:rsid w:val="00551B1A"/>
    <w:rsid w:val="00551CF7"/>
    <w:rsid w:val="00552ACB"/>
    <w:rsid w:val="00553020"/>
    <w:rsid w:val="005534BD"/>
    <w:rsid w:val="0055371F"/>
    <w:rsid w:val="00553D62"/>
    <w:rsid w:val="005546B8"/>
    <w:rsid w:val="00555158"/>
    <w:rsid w:val="00555878"/>
    <w:rsid w:val="005558EA"/>
    <w:rsid w:val="0055614C"/>
    <w:rsid w:val="0055661F"/>
    <w:rsid w:val="005568B2"/>
    <w:rsid w:val="00556C52"/>
    <w:rsid w:val="00561C26"/>
    <w:rsid w:val="005627BF"/>
    <w:rsid w:val="00563E8C"/>
    <w:rsid w:val="00564245"/>
    <w:rsid w:val="00564605"/>
    <w:rsid w:val="00564A57"/>
    <w:rsid w:val="00564E70"/>
    <w:rsid w:val="00566052"/>
    <w:rsid w:val="00566391"/>
    <w:rsid w:val="00566D06"/>
    <w:rsid w:val="00566DAA"/>
    <w:rsid w:val="00566DDF"/>
    <w:rsid w:val="00567648"/>
    <w:rsid w:val="00567827"/>
    <w:rsid w:val="00570A51"/>
    <w:rsid w:val="00571F2F"/>
    <w:rsid w:val="00573B5F"/>
    <w:rsid w:val="00574A24"/>
    <w:rsid w:val="00574F1F"/>
    <w:rsid w:val="00575D1D"/>
    <w:rsid w:val="00575DA6"/>
    <w:rsid w:val="00576185"/>
    <w:rsid w:val="00576AB2"/>
    <w:rsid w:val="00577533"/>
    <w:rsid w:val="00577EA2"/>
    <w:rsid w:val="005803D1"/>
    <w:rsid w:val="00580776"/>
    <w:rsid w:val="00580CDE"/>
    <w:rsid w:val="005819A6"/>
    <w:rsid w:val="00581DC2"/>
    <w:rsid w:val="00581E72"/>
    <w:rsid w:val="00582832"/>
    <w:rsid w:val="0058284F"/>
    <w:rsid w:val="00583228"/>
    <w:rsid w:val="005837DB"/>
    <w:rsid w:val="005840BE"/>
    <w:rsid w:val="005848A6"/>
    <w:rsid w:val="00587311"/>
    <w:rsid w:val="00587CF4"/>
    <w:rsid w:val="00592356"/>
    <w:rsid w:val="0059253F"/>
    <w:rsid w:val="0059393A"/>
    <w:rsid w:val="00593E17"/>
    <w:rsid w:val="00597C55"/>
    <w:rsid w:val="005A1454"/>
    <w:rsid w:val="005A18E4"/>
    <w:rsid w:val="005A2CB4"/>
    <w:rsid w:val="005A34BF"/>
    <w:rsid w:val="005A36CD"/>
    <w:rsid w:val="005A46FF"/>
    <w:rsid w:val="005A5044"/>
    <w:rsid w:val="005A6076"/>
    <w:rsid w:val="005A607B"/>
    <w:rsid w:val="005A6777"/>
    <w:rsid w:val="005A6860"/>
    <w:rsid w:val="005A74A2"/>
    <w:rsid w:val="005A770F"/>
    <w:rsid w:val="005A7CEC"/>
    <w:rsid w:val="005A7FD0"/>
    <w:rsid w:val="005B1454"/>
    <w:rsid w:val="005B207A"/>
    <w:rsid w:val="005B5470"/>
    <w:rsid w:val="005B65E0"/>
    <w:rsid w:val="005B6EA5"/>
    <w:rsid w:val="005B6EB3"/>
    <w:rsid w:val="005B7671"/>
    <w:rsid w:val="005B7B00"/>
    <w:rsid w:val="005B7C92"/>
    <w:rsid w:val="005C076C"/>
    <w:rsid w:val="005C108F"/>
    <w:rsid w:val="005C1567"/>
    <w:rsid w:val="005C214D"/>
    <w:rsid w:val="005C2B5C"/>
    <w:rsid w:val="005C350B"/>
    <w:rsid w:val="005C3A92"/>
    <w:rsid w:val="005C5A79"/>
    <w:rsid w:val="005C6C5E"/>
    <w:rsid w:val="005C704F"/>
    <w:rsid w:val="005D0181"/>
    <w:rsid w:val="005D02F5"/>
    <w:rsid w:val="005D0A8E"/>
    <w:rsid w:val="005D0E20"/>
    <w:rsid w:val="005D0F25"/>
    <w:rsid w:val="005D1E24"/>
    <w:rsid w:val="005D3684"/>
    <w:rsid w:val="005D4487"/>
    <w:rsid w:val="005D50D4"/>
    <w:rsid w:val="005D5644"/>
    <w:rsid w:val="005D7257"/>
    <w:rsid w:val="005D75FE"/>
    <w:rsid w:val="005D77FD"/>
    <w:rsid w:val="005D796F"/>
    <w:rsid w:val="005D7999"/>
    <w:rsid w:val="005D7E30"/>
    <w:rsid w:val="005E074C"/>
    <w:rsid w:val="005E13F7"/>
    <w:rsid w:val="005E1448"/>
    <w:rsid w:val="005E14C2"/>
    <w:rsid w:val="005E1AFA"/>
    <w:rsid w:val="005E1DC3"/>
    <w:rsid w:val="005E1F0D"/>
    <w:rsid w:val="005E29DF"/>
    <w:rsid w:val="005E2BFE"/>
    <w:rsid w:val="005E3564"/>
    <w:rsid w:val="005E4087"/>
    <w:rsid w:val="005E4175"/>
    <w:rsid w:val="005E43B3"/>
    <w:rsid w:val="005E551B"/>
    <w:rsid w:val="005E5946"/>
    <w:rsid w:val="005E69AE"/>
    <w:rsid w:val="005E732F"/>
    <w:rsid w:val="005E7ABD"/>
    <w:rsid w:val="005F124A"/>
    <w:rsid w:val="005F20BC"/>
    <w:rsid w:val="005F284C"/>
    <w:rsid w:val="005F2AFD"/>
    <w:rsid w:val="005F35B6"/>
    <w:rsid w:val="005F3D19"/>
    <w:rsid w:val="005F5EE6"/>
    <w:rsid w:val="005F608A"/>
    <w:rsid w:val="005F696B"/>
    <w:rsid w:val="005F6A47"/>
    <w:rsid w:val="005F74AE"/>
    <w:rsid w:val="00601AC7"/>
    <w:rsid w:val="006025B6"/>
    <w:rsid w:val="0060333F"/>
    <w:rsid w:val="006036B1"/>
    <w:rsid w:val="00603AAE"/>
    <w:rsid w:val="00604872"/>
    <w:rsid w:val="0060560F"/>
    <w:rsid w:val="0060679F"/>
    <w:rsid w:val="00606914"/>
    <w:rsid w:val="00606A30"/>
    <w:rsid w:val="00606A6E"/>
    <w:rsid w:val="00607BA5"/>
    <w:rsid w:val="00610704"/>
    <w:rsid w:val="0061101D"/>
    <w:rsid w:val="00611374"/>
    <w:rsid w:val="0061180A"/>
    <w:rsid w:val="0061214E"/>
    <w:rsid w:val="006136B0"/>
    <w:rsid w:val="00613E82"/>
    <w:rsid w:val="00614098"/>
    <w:rsid w:val="00614323"/>
    <w:rsid w:val="00614B5E"/>
    <w:rsid w:val="00614CB1"/>
    <w:rsid w:val="00614E66"/>
    <w:rsid w:val="006154BD"/>
    <w:rsid w:val="00616E9E"/>
    <w:rsid w:val="00616EF9"/>
    <w:rsid w:val="00617889"/>
    <w:rsid w:val="006206DD"/>
    <w:rsid w:val="006207D8"/>
    <w:rsid w:val="00620AA0"/>
    <w:rsid w:val="00620EDE"/>
    <w:rsid w:val="0062166E"/>
    <w:rsid w:val="00621933"/>
    <w:rsid w:val="0062269A"/>
    <w:rsid w:val="00622910"/>
    <w:rsid w:val="00622F2C"/>
    <w:rsid w:val="00625734"/>
    <w:rsid w:val="00626513"/>
    <w:rsid w:val="00626609"/>
    <w:rsid w:val="00626C28"/>
    <w:rsid w:val="00626C8F"/>
    <w:rsid w:val="00626EB6"/>
    <w:rsid w:val="00631897"/>
    <w:rsid w:val="00631A37"/>
    <w:rsid w:val="00631DB3"/>
    <w:rsid w:val="00631E64"/>
    <w:rsid w:val="00633874"/>
    <w:rsid w:val="006344B2"/>
    <w:rsid w:val="006356CD"/>
    <w:rsid w:val="0063695C"/>
    <w:rsid w:val="00637414"/>
    <w:rsid w:val="00640F52"/>
    <w:rsid w:val="00641AA7"/>
    <w:rsid w:val="00641BFA"/>
    <w:rsid w:val="0064235C"/>
    <w:rsid w:val="00642AB0"/>
    <w:rsid w:val="0064386A"/>
    <w:rsid w:val="006454DB"/>
    <w:rsid w:val="006464A9"/>
    <w:rsid w:val="00646788"/>
    <w:rsid w:val="00646838"/>
    <w:rsid w:val="00646A8C"/>
    <w:rsid w:val="00646E07"/>
    <w:rsid w:val="00646EF7"/>
    <w:rsid w:val="006471F1"/>
    <w:rsid w:val="006509DB"/>
    <w:rsid w:val="00650FAA"/>
    <w:rsid w:val="006517F1"/>
    <w:rsid w:val="00652227"/>
    <w:rsid w:val="0065264C"/>
    <w:rsid w:val="006529AC"/>
    <w:rsid w:val="00652F21"/>
    <w:rsid w:val="00653746"/>
    <w:rsid w:val="00653E96"/>
    <w:rsid w:val="00655D03"/>
    <w:rsid w:val="00655F1A"/>
    <w:rsid w:val="00655F28"/>
    <w:rsid w:val="00655F3F"/>
    <w:rsid w:val="00656586"/>
    <w:rsid w:val="0065695C"/>
    <w:rsid w:val="006603BC"/>
    <w:rsid w:val="00661E5D"/>
    <w:rsid w:val="006626D3"/>
    <w:rsid w:val="00662862"/>
    <w:rsid w:val="00663959"/>
    <w:rsid w:val="00663DB2"/>
    <w:rsid w:val="00663E00"/>
    <w:rsid w:val="00665172"/>
    <w:rsid w:val="006654FC"/>
    <w:rsid w:val="0066692F"/>
    <w:rsid w:val="006669B8"/>
    <w:rsid w:val="00666CED"/>
    <w:rsid w:val="00667F39"/>
    <w:rsid w:val="0067094A"/>
    <w:rsid w:val="0067100B"/>
    <w:rsid w:val="006711B0"/>
    <w:rsid w:val="00671A9F"/>
    <w:rsid w:val="00672BC0"/>
    <w:rsid w:val="0067404B"/>
    <w:rsid w:val="00674BA3"/>
    <w:rsid w:val="0067540E"/>
    <w:rsid w:val="0067653E"/>
    <w:rsid w:val="00676FFC"/>
    <w:rsid w:val="0067759F"/>
    <w:rsid w:val="006775B9"/>
    <w:rsid w:val="006826C1"/>
    <w:rsid w:val="00682844"/>
    <w:rsid w:val="00682CF2"/>
    <w:rsid w:val="00683388"/>
    <w:rsid w:val="0068349C"/>
    <w:rsid w:val="00683F84"/>
    <w:rsid w:val="006844F0"/>
    <w:rsid w:val="00684F03"/>
    <w:rsid w:val="0068526F"/>
    <w:rsid w:val="0069026F"/>
    <w:rsid w:val="0069036D"/>
    <w:rsid w:val="006904F7"/>
    <w:rsid w:val="00691036"/>
    <w:rsid w:val="00691B93"/>
    <w:rsid w:val="00692E72"/>
    <w:rsid w:val="00693676"/>
    <w:rsid w:val="00693955"/>
    <w:rsid w:val="00693F98"/>
    <w:rsid w:val="00694A76"/>
    <w:rsid w:val="0069748E"/>
    <w:rsid w:val="006978D3"/>
    <w:rsid w:val="006A0FFE"/>
    <w:rsid w:val="006A3221"/>
    <w:rsid w:val="006A38DC"/>
    <w:rsid w:val="006A4972"/>
    <w:rsid w:val="006A5767"/>
    <w:rsid w:val="006A5AFF"/>
    <w:rsid w:val="006A5CA0"/>
    <w:rsid w:val="006A6A81"/>
    <w:rsid w:val="006B0276"/>
    <w:rsid w:val="006B1096"/>
    <w:rsid w:val="006B1AC8"/>
    <w:rsid w:val="006B2370"/>
    <w:rsid w:val="006B258C"/>
    <w:rsid w:val="006B28D9"/>
    <w:rsid w:val="006B2C49"/>
    <w:rsid w:val="006B305E"/>
    <w:rsid w:val="006B355D"/>
    <w:rsid w:val="006B3F99"/>
    <w:rsid w:val="006B5749"/>
    <w:rsid w:val="006B5EF4"/>
    <w:rsid w:val="006B6B02"/>
    <w:rsid w:val="006B71D3"/>
    <w:rsid w:val="006B7354"/>
    <w:rsid w:val="006B78CC"/>
    <w:rsid w:val="006B7C56"/>
    <w:rsid w:val="006C0E4C"/>
    <w:rsid w:val="006C2492"/>
    <w:rsid w:val="006C2E62"/>
    <w:rsid w:val="006C4877"/>
    <w:rsid w:val="006C487E"/>
    <w:rsid w:val="006C4D79"/>
    <w:rsid w:val="006C5D94"/>
    <w:rsid w:val="006C61FB"/>
    <w:rsid w:val="006D035D"/>
    <w:rsid w:val="006D0470"/>
    <w:rsid w:val="006D0EE4"/>
    <w:rsid w:val="006D1860"/>
    <w:rsid w:val="006D1866"/>
    <w:rsid w:val="006D5BD9"/>
    <w:rsid w:val="006D5E7C"/>
    <w:rsid w:val="006D615E"/>
    <w:rsid w:val="006D6AE0"/>
    <w:rsid w:val="006D7681"/>
    <w:rsid w:val="006E0069"/>
    <w:rsid w:val="006E107A"/>
    <w:rsid w:val="006E133F"/>
    <w:rsid w:val="006E1426"/>
    <w:rsid w:val="006E31F0"/>
    <w:rsid w:val="006E4884"/>
    <w:rsid w:val="006E4B09"/>
    <w:rsid w:val="006E5458"/>
    <w:rsid w:val="006E6CB6"/>
    <w:rsid w:val="006E74E6"/>
    <w:rsid w:val="006E7548"/>
    <w:rsid w:val="006E7FB8"/>
    <w:rsid w:val="006F17D7"/>
    <w:rsid w:val="006F1AA4"/>
    <w:rsid w:val="006F1C64"/>
    <w:rsid w:val="006F25A9"/>
    <w:rsid w:val="006F2631"/>
    <w:rsid w:val="006F2AF9"/>
    <w:rsid w:val="006F2CA4"/>
    <w:rsid w:val="006F4D45"/>
    <w:rsid w:val="006F6EED"/>
    <w:rsid w:val="006F7129"/>
    <w:rsid w:val="006F7393"/>
    <w:rsid w:val="006F7E77"/>
    <w:rsid w:val="0070109D"/>
    <w:rsid w:val="00701613"/>
    <w:rsid w:val="00701740"/>
    <w:rsid w:val="00701798"/>
    <w:rsid w:val="007017D0"/>
    <w:rsid w:val="00701EE5"/>
    <w:rsid w:val="0070224F"/>
    <w:rsid w:val="007022D4"/>
    <w:rsid w:val="007023BD"/>
    <w:rsid w:val="00702DC6"/>
    <w:rsid w:val="00703397"/>
    <w:rsid w:val="0070488C"/>
    <w:rsid w:val="00705651"/>
    <w:rsid w:val="00705E7D"/>
    <w:rsid w:val="00705FB9"/>
    <w:rsid w:val="00706C90"/>
    <w:rsid w:val="00707C1F"/>
    <w:rsid w:val="00710F67"/>
    <w:rsid w:val="007114AE"/>
    <w:rsid w:val="007115F7"/>
    <w:rsid w:val="00711C10"/>
    <w:rsid w:val="00711D37"/>
    <w:rsid w:val="00711F39"/>
    <w:rsid w:val="00711FD8"/>
    <w:rsid w:val="00713844"/>
    <w:rsid w:val="00714199"/>
    <w:rsid w:val="00714EE5"/>
    <w:rsid w:val="007154CC"/>
    <w:rsid w:val="00715722"/>
    <w:rsid w:val="0071638B"/>
    <w:rsid w:val="00720A39"/>
    <w:rsid w:val="00720FA2"/>
    <w:rsid w:val="00721331"/>
    <w:rsid w:val="007221C9"/>
    <w:rsid w:val="007233A2"/>
    <w:rsid w:val="00724CFE"/>
    <w:rsid w:val="007269C5"/>
    <w:rsid w:val="00727B84"/>
    <w:rsid w:val="00727E4F"/>
    <w:rsid w:val="0073177A"/>
    <w:rsid w:val="00731BFF"/>
    <w:rsid w:val="00733E37"/>
    <w:rsid w:val="00734499"/>
    <w:rsid w:val="007344F1"/>
    <w:rsid w:val="00736298"/>
    <w:rsid w:val="00736A51"/>
    <w:rsid w:val="007373C8"/>
    <w:rsid w:val="00740528"/>
    <w:rsid w:val="00741FBC"/>
    <w:rsid w:val="007428AE"/>
    <w:rsid w:val="00743B85"/>
    <w:rsid w:val="00743BD0"/>
    <w:rsid w:val="0074704F"/>
    <w:rsid w:val="00747973"/>
    <w:rsid w:val="00747E97"/>
    <w:rsid w:val="0075023C"/>
    <w:rsid w:val="00750594"/>
    <w:rsid w:val="0075079E"/>
    <w:rsid w:val="00750EC8"/>
    <w:rsid w:val="00751425"/>
    <w:rsid w:val="007525C5"/>
    <w:rsid w:val="00752911"/>
    <w:rsid w:val="00755495"/>
    <w:rsid w:val="00757334"/>
    <w:rsid w:val="00760294"/>
    <w:rsid w:val="00760604"/>
    <w:rsid w:val="00760C48"/>
    <w:rsid w:val="00761103"/>
    <w:rsid w:val="00761554"/>
    <w:rsid w:val="007617EB"/>
    <w:rsid w:val="007619DF"/>
    <w:rsid w:val="00761CF1"/>
    <w:rsid w:val="00761F0A"/>
    <w:rsid w:val="00762274"/>
    <w:rsid w:val="00763413"/>
    <w:rsid w:val="0076424F"/>
    <w:rsid w:val="00764F8F"/>
    <w:rsid w:val="00765161"/>
    <w:rsid w:val="00765F34"/>
    <w:rsid w:val="007674DA"/>
    <w:rsid w:val="0077075C"/>
    <w:rsid w:val="00771322"/>
    <w:rsid w:val="007718DF"/>
    <w:rsid w:val="00771B80"/>
    <w:rsid w:val="00771BBE"/>
    <w:rsid w:val="00771D6C"/>
    <w:rsid w:val="0077339E"/>
    <w:rsid w:val="007737AD"/>
    <w:rsid w:val="00773A68"/>
    <w:rsid w:val="00773D3E"/>
    <w:rsid w:val="007748B2"/>
    <w:rsid w:val="00774964"/>
    <w:rsid w:val="007756D3"/>
    <w:rsid w:val="007758E2"/>
    <w:rsid w:val="00776870"/>
    <w:rsid w:val="00777F42"/>
    <w:rsid w:val="00777FAF"/>
    <w:rsid w:val="007800F6"/>
    <w:rsid w:val="0078021C"/>
    <w:rsid w:val="007802CE"/>
    <w:rsid w:val="00780C23"/>
    <w:rsid w:val="00781274"/>
    <w:rsid w:val="00782515"/>
    <w:rsid w:val="007829A3"/>
    <w:rsid w:val="007829AE"/>
    <w:rsid w:val="0078365F"/>
    <w:rsid w:val="007848D5"/>
    <w:rsid w:val="00785689"/>
    <w:rsid w:val="0078574D"/>
    <w:rsid w:val="0078666F"/>
    <w:rsid w:val="00786854"/>
    <w:rsid w:val="007868D8"/>
    <w:rsid w:val="0078743D"/>
    <w:rsid w:val="00790BD6"/>
    <w:rsid w:val="00790E66"/>
    <w:rsid w:val="00791B35"/>
    <w:rsid w:val="00791C41"/>
    <w:rsid w:val="00791D17"/>
    <w:rsid w:val="00791E4B"/>
    <w:rsid w:val="0079226D"/>
    <w:rsid w:val="007927AF"/>
    <w:rsid w:val="00792891"/>
    <w:rsid w:val="00792918"/>
    <w:rsid w:val="00792DB7"/>
    <w:rsid w:val="00792F98"/>
    <w:rsid w:val="00794E1B"/>
    <w:rsid w:val="00794E25"/>
    <w:rsid w:val="00794E29"/>
    <w:rsid w:val="007952F1"/>
    <w:rsid w:val="00795342"/>
    <w:rsid w:val="00795706"/>
    <w:rsid w:val="007962B4"/>
    <w:rsid w:val="007967D8"/>
    <w:rsid w:val="007967E8"/>
    <w:rsid w:val="0079754B"/>
    <w:rsid w:val="00797F8A"/>
    <w:rsid w:val="007A0C12"/>
    <w:rsid w:val="007A12A6"/>
    <w:rsid w:val="007A1E6D"/>
    <w:rsid w:val="007A209E"/>
    <w:rsid w:val="007A234D"/>
    <w:rsid w:val="007A294F"/>
    <w:rsid w:val="007A39F9"/>
    <w:rsid w:val="007A3CFB"/>
    <w:rsid w:val="007A3E3F"/>
    <w:rsid w:val="007A4101"/>
    <w:rsid w:val="007A4956"/>
    <w:rsid w:val="007A6346"/>
    <w:rsid w:val="007A6415"/>
    <w:rsid w:val="007A6A4D"/>
    <w:rsid w:val="007A76CB"/>
    <w:rsid w:val="007A78CD"/>
    <w:rsid w:val="007A7A06"/>
    <w:rsid w:val="007B0875"/>
    <w:rsid w:val="007B0EB2"/>
    <w:rsid w:val="007B1B10"/>
    <w:rsid w:val="007B203E"/>
    <w:rsid w:val="007B2100"/>
    <w:rsid w:val="007B2385"/>
    <w:rsid w:val="007B305C"/>
    <w:rsid w:val="007B32DD"/>
    <w:rsid w:val="007B3704"/>
    <w:rsid w:val="007B3944"/>
    <w:rsid w:val="007B6353"/>
    <w:rsid w:val="007B705C"/>
    <w:rsid w:val="007B709B"/>
    <w:rsid w:val="007B70AB"/>
    <w:rsid w:val="007C09EF"/>
    <w:rsid w:val="007C0DA4"/>
    <w:rsid w:val="007C1B2B"/>
    <w:rsid w:val="007C2738"/>
    <w:rsid w:val="007C27DB"/>
    <w:rsid w:val="007C352D"/>
    <w:rsid w:val="007C4367"/>
    <w:rsid w:val="007C4D22"/>
    <w:rsid w:val="007C5B76"/>
    <w:rsid w:val="007C5C3D"/>
    <w:rsid w:val="007C666D"/>
    <w:rsid w:val="007C69AE"/>
    <w:rsid w:val="007D002F"/>
    <w:rsid w:val="007D175A"/>
    <w:rsid w:val="007D1FEA"/>
    <w:rsid w:val="007D23BA"/>
    <w:rsid w:val="007D2443"/>
    <w:rsid w:val="007D3E15"/>
    <w:rsid w:val="007D488F"/>
    <w:rsid w:val="007D66AE"/>
    <w:rsid w:val="007E028E"/>
    <w:rsid w:val="007E1830"/>
    <w:rsid w:val="007E23E5"/>
    <w:rsid w:val="007E2976"/>
    <w:rsid w:val="007E31B5"/>
    <w:rsid w:val="007E3E72"/>
    <w:rsid w:val="007E516C"/>
    <w:rsid w:val="007E639D"/>
    <w:rsid w:val="007E651C"/>
    <w:rsid w:val="007F03DA"/>
    <w:rsid w:val="007F0C49"/>
    <w:rsid w:val="007F0EAE"/>
    <w:rsid w:val="007F14B1"/>
    <w:rsid w:val="007F16DD"/>
    <w:rsid w:val="007F28A4"/>
    <w:rsid w:val="007F2F77"/>
    <w:rsid w:val="007F34B6"/>
    <w:rsid w:val="007F36D3"/>
    <w:rsid w:val="007F3758"/>
    <w:rsid w:val="007F38E7"/>
    <w:rsid w:val="007F4AC1"/>
    <w:rsid w:val="007F5C44"/>
    <w:rsid w:val="007F5DBE"/>
    <w:rsid w:val="007F66F3"/>
    <w:rsid w:val="007F7229"/>
    <w:rsid w:val="007F7D07"/>
    <w:rsid w:val="00800C42"/>
    <w:rsid w:val="00801345"/>
    <w:rsid w:val="0080157C"/>
    <w:rsid w:val="00802805"/>
    <w:rsid w:val="00802DDC"/>
    <w:rsid w:val="008035EC"/>
    <w:rsid w:val="00803E32"/>
    <w:rsid w:val="008043D1"/>
    <w:rsid w:val="00804735"/>
    <w:rsid w:val="008057D4"/>
    <w:rsid w:val="00806109"/>
    <w:rsid w:val="00806948"/>
    <w:rsid w:val="00806CD1"/>
    <w:rsid w:val="00807D56"/>
    <w:rsid w:val="00810B6F"/>
    <w:rsid w:val="00811068"/>
    <w:rsid w:val="008114A6"/>
    <w:rsid w:val="00811686"/>
    <w:rsid w:val="00811862"/>
    <w:rsid w:val="00812B01"/>
    <w:rsid w:val="00812CA6"/>
    <w:rsid w:val="00813B8D"/>
    <w:rsid w:val="00814521"/>
    <w:rsid w:val="00814717"/>
    <w:rsid w:val="00814A14"/>
    <w:rsid w:val="00815B8E"/>
    <w:rsid w:val="00816245"/>
    <w:rsid w:val="0081698A"/>
    <w:rsid w:val="008179FB"/>
    <w:rsid w:val="00817B7F"/>
    <w:rsid w:val="00820DC1"/>
    <w:rsid w:val="008214B6"/>
    <w:rsid w:val="00822CE0"/>
    <w:rsid w:val="00823032"/>
    <w:rsid w:val="008234E8"/>
    <w:rsid w:val="00824B08"/>
    <w:rsid w:val="00825DC5"/>
    <w:rsid w:val="008268AF"/>
    <w:rsid w:val="00827585"/>
    <w:rsid w:val="008302A4"/>
    <w:rsid w:val="0083056A"/>
    <w:rsid w:val="00830B95"/>
    <w:rsid w:val="0083145E"/>
    <w:rsid w:val="008317DC"/>
    <w:rsid w:val="008319E3"/>
    <w:rsid w:val="008319ED"/>
    <w:rsid w:val="00831D42"/>
    <w:rsid w:val="00832E5C"/>
    <w:rsid w:val="00834AF9"/>
    <w:rsid w:val="008350B7"/>
    <w:rsid w:val="008357FC"/>
    <w:rsid w:val="008370B2"/>
    <w:rsid w:val="0083714B"/>
    <w:rsid w:val="008417A6"/>
    <w:rsid w:val="00841AB1"/>
    <w:rsid w:val="00842627"/>
    <w:rsid w:val="008432EF"/>
    <w:rsid w:val="00843DFB"/>
    <w:rsid w:val="008440E8"/>
    <w:rsid w:val="00844874"/>
    <w:rsid w:val="00844F7C"/>
    <w:rsid w:val="0084642A"/>
    <w:rsid w:val="008464CB"/>
    <w:rsid w:val="00847B88"/>
    <w:rsid w:val="00847E2B"/>
    <w:rsid w:val="00847E89"/>
    <w:rsid w:val="008506FA"/>
    <w:rsid w:val="0085091C"/>
    <w:rsid w:val="00850A71"/>
    <w:rsid w:val="00850B64"/>
    <w:rsid w:val="008511F9"/>
    <w:rsid w:val="00851C07"/>
    <w:rsid w:val="008521DE"/>
    <w:rsid w:val="00852685"/>
    <w:rsid w:val="008529CC"/>
    <w:rsid w:val="00853686"/>
    <w:rsid w:val="00853C3E"/>
    <w:rsid w:val="00854B1F"/>
    <w:rsid w:val="008604A3"/>
    <w:rsid w:val="0086108D"/>
    <w:rsid w:val="00862510"/>
    <w:rsid w:val="00862519"/>
    <w:rsid w:val="00862DD1"/>
    <w:rsid w:val="008634F4"/>
    <w:rsid w:val="00863522"/>
    <w:rsid w:val="0086433B"/>
    <w:rsid w:val="008655E2"/>
    <w:rsid w:val="008656A4"/>
    <w:rsid w:val="00865AFB"/>
    <w:rsid w:val="00866B43"/>
    <w:rsid w:val="00866B47"/>
    <w:rsid w:val="00867C55"/>
    <w:rsid w:val="00867DF3"/>
    <w:rsid w:val="00870ED7"/>
    <w:rsid w:val="00871162"/>
    <w:rsid w:val="00871BBC"/>
    <w:rsid w:val="00872757"/>
    <w:rsid w:val="00872878"/>
    <w:rsid w:val="00872C35"/>
    <w:rsid w:val="00872CE9"/>
    <w:rsid w:val="00872DC1"/>
    <w:rsid w:val="008737BA"/>
    <w:rsid w:val="008738A4"/>
    <w:rsid w:val="00874843"/>
    <w:rsid w:val="008753F5"/>
    <w:rsid w:val="00875FEE"/>
    <w:rsid w:val="00877710"/>
    <w:rsid w:val="008801EA"/>
    <w:rsid w:val="008803CE"/>
    <w:rsid w:val="008809D5"/>
    <w:rsid w:val="008809F3"/>
    <w:rsid w:val="00880E87"/>
    <w:rsid w:val="00881FB9"/>
    <w:rsid w:val="00884654"/>
    <w:rsid w:val="00884E95"/>
    <w:rsid w:val="00884EDB"/>
    <w:rsid w:val="00885B37"/>
    <w:rsid w:val="00886A8E"/>
    <w:rsid w:val="00887A1F"/>
    <w:rsid w:val="00890283"/>
    <w:rsid w:val="00890E64"/>
    <w:rsid w:val="008917AA"/>
    <w:rsid w:val="008926B8"/>
    <w:rsid w:val="008929F8"/>
    <w:rsid w:val="008930E7"/>
    <w:rsid w:val="00893909"/>
    <w:rsid w:val="00893BAF"/>
    <w:rsid w:val="00894CC6"/>
    <w:rsid w:val="00894FB9"/>
    <w:rsid w:val="008950A6"/>
    <w:rsid w:val="00896F49"/>
    <w:rsid w:val="008A1201"/>
    <w:rsid w:val="008A17EB"/>
    <w:rsid w:val="008A232F"/>
    <w:rsid w:val="008A2BCA"/>
    <w:rsid w:val="008A3C44"/>
    <w:rsid w:val="008A525F"/>
    <w:rsid w:val="008A54B5"/>
    <w:rsid w:val="008A6CE9"/>
    <w:rsid w:val="008A75B4"/>
    <w:rsid w:val="008A7CE5"/>
    <w:rsid w:val="008B04F6"/>
    <w:rsid w:val="008B06F6"/>
    <w:rsid w:val="008B0FC4"/>
    <w:rsid w:val="008B1073"/>
    <w:rsid w:val="008B2C92"/>
    <w:rsid w:val="008B4BB2"/>
    <w:rsid w:val="008B5ADD"/>
    <w:rsid w:val="008B5CFA"/>
    <w:rsid w:val="008B6239"/>
    <w:rsid w:val="008B6F4B"/>
    <w:rsid w:val="008B7C9C"/>
    <w:rsid w:val="008C01D7"/>
    <w:rsid w:val="008C0AEF"/>
    <w:rsid w:val="008C15AA"/>
    <w:rsid w:val="008C1BFB"/>
    <w:rsid w:val="008C33D1"/>
    <w:rsid w:val="008C38AA"/>
    <w:rsid w:val="008C3D70"/>
    <w:rsid w:val="008C3ECC"/>
    <w:rsid w:val="008C4904"/>
    <w:rsid w:val="008C49EA"/>
    <w:rsid w:val="008C4A77"/>
    <w:rsid w:val="008C4B0C"/>
    <w:rsid w:val="008C4C1E"/>
    <w:rsid w:val="008C4CB7"/>
    <w:rsid w:val="008C5247"/>
    <w:rsid w:val="008C62EB"/>
    <w:rsid w:val="008C68F1"/>
    <w:rsid w:val="008C7C0F"/>
    <w:rsid w:val="008D06C8"/>
    <w:rsid w:val="008D08DB"/>
    <w:rsid w:val="008D1DDE"/>
    <w:rsid w:val="008D23C6"/>
    <w:rsid w:val="008D2654"/>
    <w:rsid w:val="008D2718"/>
    <w:rsid w:val="008D2BEA"/>
    <w:rsid w:val="008D3280"/>
    <w:rsid w:val="008D36DB"/>
    <w:rsid w:val="008D44F2"/>
    <w:rsid w:val="008D6271"/>
    <w:rsid w:val="008D7097"/>
    <w:rsid w:val="008E19F6"/>
    <w:rsid w:val="008E24F6"/>
    <w:rsid w:val="008E2A6E"/>
    <w:rsid w:val="008E41AE"/>
    <w:rsid w:val="008E452D"/>
    <w:rsid w:val="008E45CA"/>
    <w:rsid w:val="008E50E2"/>
    <w:rsid w:val="008E5875"/>
    <w:rsid w:val="008E5884"/>
    <w:rsid w:val="008E63B7"/>
    <w:rsid w:val="008E644D"/>
    <w:rsid w:val="008F0F1C"/>
    <w:rsid w:val="008F251F"/>
    <w:rsid w:val="008F2534"/>
    <w:rsid w:val="008F309E"/>
    <w:rsid w:val="008F4A60"/>
    <w:rsid w:val="008F5A41"/>
    <w:rsid w:val="008F64D6"/>
    <w:rsid w:val="008F6504"/>
    <w:rsid w:val="008F6652"/>
    <w:rsid w:val="0090034C"/>
    <w:rsid w:val="009007C9"/>
    <w:rsid w:val="00901324"/>
    <w:rsid w:val="00901478"/>
    <w:rsid w:val="00901772"/>
    <w:rsid w:val="00901D1B"/>
    <w:rsid w:val="00901F56"/>
    <w:rsid w:val="0090282F"/>
    <w:rsid w:val="00903C39"/>
    <w:rsid w:val="0090423F"/>
    <w:rsid w:val="009054F6"/>
    <w:rsid w:val="00905D25"/>
    <w:rsid w:val="00906256"/>
    <w:rsid w:val="009064BD"/>
    <w:rsid w:val="0090750E"/>
    <w:rsid w:val="00910092"/>
    <w:rsid w:val="009105F7"/>
    <w:rsid w:val="00911CA5"/>
    <w:rsid w:val="00911FB1"/>
    <w:rsid w:val="009128C7"/>
    <w:rsid w:val="0091300C"/>
    <w:rsid w:val="009133CC"/>
    <w:rsid w:val="00913843"/>
    <w:rsid w:val="00913DAD"/>
    <w:rsid w:val="00913E1D"/>
    <w:rsid w:val="009150E8"/>
    <w:rsid w:val="0091567E"/>
    <w:rsid w:val="00915774"/>
    <w:rsid w:val="0091636F"/>
    <w:rsid w:val="00917866"/>
    <w:rsid w:val="0092078C"/>
    <w:rsid w:val="00921331"/>
    <w:rsid w:val="00921803"/>
    <w:rsid w:val="00922E6F"/>
    <w:rsid w:val="00923B62"/>
    <w:rsid w:val="00923DBB"/>
    <w:rsid w:val="00923F46"/>
    <w:rsid w:val="0092523C"/>
    <w:rsid w:val="00925C63"/>
    <w:rsid w:val="00926503"/>
    <w:rsid w:val="00926DCE"/>
    <w:rsid w:val="00930A62"/>
    <w:rsid w:val="00931DD2"/>
    <w:rsid w:val="009324A6"/>
    <w:rsid w:val="009327F3"/>
    <w:rsid w:val="0093283A"/>
    <w:rsid w:val="009329B3"/>
    <w:rsid w:val="00932A1E"/>
    <w:rsid w:val="00932B26"/>
    <w:rsid w:val="00932F6B"/>
    <w:rsid w:val="0093335D"/>
    <w:rsid w:val="00933EFA"/>
    <w:rsid w:val="009348E9"/>
    <w:rsid w:val="0093598C"/>
    <w:rsid w:val="00935C1A"/>
    <w:rsid w:val="00935F12"/>
    <w:rsid w:val="00940359"/>
    <w:rsid w:val="00940D3D"/>
    <w:rsid w:val="00941949"/>
    <w:rsid w:val="0094210C"/>
    <w:rsid w:val="00942273"/>
    <w:rsid w:val="009422B1"/>
    <w:rsid w:val="00942504"/>
    <w:rsid w:val="00942A12"/>
    <w:rsid w:val="00942D11"/>
    <w:rsid w:val="00944685"/>
    <w:rsid w:val="00944D0F"/>
    <w:rsid w:val="0094667F"/>
    <w:rsid w:val="00946DAE"/>
    <w:rsid w:val="009479E3"/>
    <w:rsid w:val="009506A9"/>
    <w:rsid w:val="00950E99"/>
    <w:rsid w:val="00951502"/>
    <w:rsid w:val="00951FC4"/>
    <w:rsid w:val="009528EB"/>
    <w:rsid w:val="00952990"/>
    <w:rsid w:val="00952B30"/>
    <w:rsid w:val="00953F24"/>
    <w:rsid w:val="00953F96"/>
    <w:rsid w:val="00953FE8"/>
    <w:rsid w:val="00954407"/>
    <w:rsid w:val="009546E6"/>
    <w:rsid w:val="00955BFA"/>
    <w:rsid w:val="00956D3B"/>
    <w:rsid w:val="00956ECA"/>
    <w:rsid w:val="00957976"/>
    <w:rsid w:val="00957D82"/>
    <w:rsid w:val="009600C7"/>
    <w:rsid w:val="00960906"/>
    <w:rsid w:val="009612A5"/>
    <w:rsid w:val="009621B1"/>
    <w:rsid w:val="00962732"/>
    <w:rsid w:val="009638EE"/>
    <w:rsid w:val="00964772"/>
    <w:rsid w:val="009671C1"/>
    <w:rsid w:val="00967471"/>
    <w:rsid w:val="009674A8"/>
    <w:rsid w:val="00970632"/>
    <w:rsid w:val="00970634"/>
    <w:rsid w:val="00971669"/>
    <w:rsid w:val="009726D8"/>
    <w:rsid w:val="00973107"/>
    <w:rsid w:val="00975073"/>
    <w:rsid w:val="00975251"/>
    <w:rsid w:val="0097588D"/>
    <w:rsid w:val="0097602D"/>
    <w:rsid w:val="009763A1"/>
    <w:rsid w:val="009765DB"/>
    <w:rsid w:val="00977A5D"/>
    <w:rsid w:val="00981B49"/>
    <w:rsid w:val="009823FF"/>
    <w:rsid w:val="00982916"/>
    <w:rsid w:val="00983634"/>
    <w:rsid w:val="00983EEB"/>
    <w:rsid w:val="00983FA6"/>
    <w:rsid w:val="00984414"/>
    <w:rsid w:val="00985028"/>
    <w:rsid w:val="00985093"/>
    <w:rsid w:val="0098525C"/>
    <w:rsid w:val="009853F3"/>
    <w:rsid w:val="00985692"/>
    <w:rsid w:val="009866B7"/>
    <w:rsid w:val="009879FF"/>
    <w:rsid w:val="00987A00"/>
    <w:rsid w:val="00990085"/>
    <w:rsid w:val="009909ED"/>
    <w:rsid w:val="00991506"/>
    <w:rsid w:val="0099195B"/>
    <w:rsid w:val="0099311D"/>
    <w:rsid w:val="00994121"/>
    <w:rsid w:val="0099446C"/>
    <w:rsid w:val="00995CB2"/>
    <w:rsid w:val="00996594"/>
    <w:rsid w:val="0099677D"/>
    <w:rsid w:val="00996CDF"/>
    <w:rsid w:val="009A143A"/>
    <w:rsid w:val="009A2614"/>
    <w:rsid w:val="009A2E29"/>
    <w:rsid w:val="009A4F22"/>
    <w:rsid w:val="009A4F24"/>
    <w:rsid w:val="009A584D"/>
    <w:rsid w:val="009A5980"/>
    <w:rsid w:val="009A6C50"/>
    <w:rsid w:val="009A6E2C"/>
    <w:rsid w:val="009A7279"/>
    <w:rsid w:val="009A7AC6"/>
    <w:rsid w:val="009B0D89"/>
    <w:rsid w:val="009B2067"/>
    <w:rsid w:val="009B2A95"/>
    <w:rsid w:val="009B2C16"/>
    <w:rsid w:val="009B4590"/>
    <w:rsid w:val="009B5647"/>
    <w:rsid w:val="009B5A7F"/>
    <w:rsid w:val="009B6B76"/>
    <w:rsid w:val="009B79F3"/>
    <w:rsid w:val="009C01E9"/>
    <w:rsid w:val="009C0BD7"/>
    <w:rsid w:val="009C134F"/>
    <w:rsid w:val="009C201B"/>
    <w:rsid w:val="009C257B"/>
    <w:rsid w:val="009C26A1"/>
    <w:rsid w:val="009C2DC0"/>
    <w:rsid w:val="009C3A77"/>
    <w:rsid w:val="009C3B96"/>
    <w:rsid w:val="009C3DDF"/>
    <w:rsid w:val="009C45F4"/>
    <w:rsid w:val="009C4A88"/>
    <w:rsid w:val="009C5E54"/>
    <w:rsid w:val="009C6D34"/>
    <w:rsid w:val="009C7B42"/>
    <w:rsid w:val="009D01AA"/>
    <w:rsid w:val="009D1F53"/>
    <w:rsid w:val="009D261A"/>
    <w:rsid w:val="009D26A0"/>
    <w:rsid w:val="009D2A77"/>
    <w:rsid w:val="009D43D1"/>
    <w:rsid w:val="009D4A5D"/>
    <w:rsid w:val="009D5C11"/>
    <w:rsid w:val="009D648B"/>
    <w:rsid w:val="009D6E46"/>
    <w:rsid w:val="009D7308"/>
    <w:rsid w:val="009D7749"/>
    <w:rsid w:val="009D7A5F"/>
    <w:rsid w:val="009E0609"/>
    <w:rsid w:val="009E10BD"/>
    <w:rsid w:val="009E17A7"/>
    <w:rsid w:val="009E1A64"/>
    <w:rsid w:val="009E1DD6"/>
    <w:rsid w:val="009E2440"/>
    <w:rsid w:val="009E3396"/>
    <w:rsid w:val="009E3D41"/>
    <w:rsid w:val="009E3ED7"/>
    <w:rsid w:val="009E3FA2"/>
    <w:rsid w:val="009E40EC"/>
    <w:rsid w:val="009E5A0F"/>
    <w:rsid w:val="009E5DA2"/>
    <w:rsid w:val="009E6790"/>
    <w:rsid w:val="009E6991"/>
    <w:rsid w:val="009E6D51"/>
    <w:rsid w:val="009F09FD"/>
    <w:rsid w:val="009F16CA"/>
    <w:rsid w:val="009F38CA"/>
    <w:rsid w:val="009F44EB"/>
    <w:rsid w:val="009F4B13"/>
    <w:rsid w:val="009F4F8E"/>
    <w:rsid w:val="009F5369"/>
    <w:rsid w:val="009F7533"/>
    <w:rsid w:val="009F76DB"/>
    <w:rsid w:val="009F79C6"/>
    <w:rsid w:val="00A000BD"/>
    <w:rsid w:val="00A00BA2"/>
    <w:rsid w:val="00A01A40"/>
    <w:rsid w:val="00A02197"/>
    <w:rsid w:val="00A037F2"/>
    <w:rsid w:val="00A03A09"/>
    <w:rsid w:val="00A03C64"/>
    <w:rsid w:val="00A040EA"/>
    <w:rsid w:val="00A04126"/>
    <w:rsid w:val="00A0582F"/>
    <w:rsid w:val="00A06443"/>
    <w:rsid w:val="00A0665E"/>
    <w:rsid w:val="00A07050"/>
    <w:rsid w:val="00A0795B"/>
    <w:rsid w:val="00A117EE"/>
    <w:rsid w:val="00A12F38"/>
    <w:rsid w:val="00A14C04"/>
    <w:rsid w:val="00A14EEE"/>
    <w:rsid w:val="00A151A8"/>
    <w:rsid w:val="00A15E04"/>
    <w:rsid w:val="00A16FCA"/>
    <w:rsid w:val="00A1727C"/>
    <w:rsid w:val="00A17BEE"/>
    <w:rsid w:val="00A20658"/>
    <w:rsid w:val="00A20D4D"/>
    <w:rsid w:val="00A2188D"/>
    <w:rsid w:val="00A22749"/>
    <w:rsid w:val="00A227D7"/>
    <w:rsid w:val="00A227F8"/>
    <w:rsid w:val="00A2321B"/>
    <w:rsid w:val="00A237A4"/>
    <w:rsid w:val="00A23BFF"/>
    <w:rsid w:val="00A23D56"/>
    <w:rsid w:val="00A23D6F"/>
    <w:rsid w:val="00A2466D"/>
    <w:rsid w:val="00A24F9D"/>
    <w:rsid w:val="00A258A9"/>
    <w:rsid w:val="00A2697F"/>
    <w:rsid w:val="00A30476"/>
    <w:rsid w:val="00A305AB"/>
    <w:rsid w:val="00A3284A"/>
    <w:rsid w:val="00A32C3B"/>
    <w:rsid w:val="00A32DF8"/>
    <w:rsid w:val="00A34164"/>
    <w:rsid w:val="00A34D7D"/>
    <w:rsid w:val="00A35D29"/>
    <w:rsid w:val="00A365C4"/>
    <w:rsid w:val="00A37182"/>
    <w:rsid w:val="00A37371"/>
    <w:rsid w:val="00A3777A"/>
    <w:rsid w:val="00A37A99"/>
    <w:rsid w:val="00A41384"/>
    <w:rsid w:val="00A417DE"/>
    <w:rsid w:val="00A42DAC"/>
    <w:rsid w:val="00A42F17"/>
    <w:rsid w:val="00A43544"/>
    <w:rsid w:val="00A4389B"/>
    <w:rsid w:val="00A43DAC"/>
    <w:rsid w:val="00A4435D"/>
    <w:rsid w:val="00A45807"/>
    <w:rsid w:val="00A45C80"/>
    <w:rsid w:val="00A45F4F"/>
    <w:rsid w:val="00A4646E"/>
    <w:rsid w:val="00A46D05"/>
    <w:rsid w:val="00A47AB6"/>
    <w:rsid w:val="00A50EF5"/>
    <w:rsid w:val="00A51109"/>
    <w:rsid w:val="00A51684"/>
    <w:rsid w:val="00A52DDE"/>
    <w:rsid w:val="00A535DB"/>
    <w:rsid w:val="00A53F88"/>
    <w:rsid w:val="00A556E8"/>
    <w:rsid w:val="00A557B8"/>
    <w:rsid w:val="00A569DB"/>
    <w:rsid w:val="00A571A7"/>
    <w:rsid w:val="00A578D8"/>
    <w:rsid w:val="00A600A9"/>
    <w:rsid w:val="00A601D2"/>
    <w:rsid w:val="00A605E2"/>
    <w:rsid w:val="00A61166"/>
    <w:rsid w:val="00A6121F"/>
    <w:rsid w:val="00A62B7C"/>
    <w:rsid w:val="00A62D24"/>
    <w:rsid w:val="00A64D27"/>
    <w:rsid w:val="00A64E15"/>
    <w:rsid w:val="00A659F7"/>
    <w:rsid w:val="00A65EEE"/>
    <w:rsid w:val="00A7014E"/>
    <w:rsid w:val="00A707E0"/>
    <w:rsid w:val="00A71129"/>
    <w:rsid w:val="00A71E8A"/>
    <w:rsid w:val="00A71EFB"/>
    <w:rsid w:val="00A71F1F"/>
    <w:rsid w:val="00A72119"/>
    <w:rsid w:val="00A7255D"/>
    <w:rsid w:val="00A72713"/>
    <w:rsid w:val="00A7285C"/>
    <w:rsid w:val="00A72BB7"/>
    <w:rsid w:val="00A731BB"/>
    <w:rsid w:val="00A731EE"/>
    <w:rsid w:val="00A73D56"/>
    <w:rsid w:val="00A74A04"/>
    <w:rsid w:val="00A75A94"/>
    <w:rsid w:val="00A77C2B"/>
    <w:rsid w:val="00A804F3"/>
    <w:rsid w:val="00A81C92"/>
    <w:rsid w:val="00A81F4B"/>
    <w:rsid w:val="00A82054"/>
    <w:rsid w:val="00A83693"/>
    <w:rsid w:val="00A838A6"/>
    <w:rsid w:val="00A8418A"/>
    <w:rsid w:val="00A84448"/>
    <w:rsid w:val="00A84844"/>
    <w:rsid w:val="00A8485E"/>
    <w:rsid w:val="00A848FA"/>
    <w:rsid w:val="00A84C2F"/>
    <w:rsid w:val="00A850BF"/>
    <w:rsid w:val="00A860E3"/>
    <w:rsid w:val="00A86265"/>
    <w:rsid w:val="00A90B40"/>
    <w:rsid w:val="00A911C6"/>
    <w:rsid w:val="00A929A1"/>
    <w:rsid w:val="00A95392"/>
    <w:rsid w:val="00A954EC"/>
    <w:rsid w:val="00A95BD2"/>
    <w:rsid w:val="00A962C4"/>
    <w:rsid w:val="00A9649D"/>
    <w:rsid w:val="00A97954"/>
    <w:rsid w:val="00AA1875"/>
    <w:rsid w:val="00AA1EB7"/>
    <w:rsid w:val="00AA20C5"/>
    <w:rsid w:val="00AA29CF"/>
    <w:rsid w:val="00AA3570"/>
    <w:rsid w:val="00AA4ECB"/>
    <w:rsid w:val="00AA55B7"/>
    <w:rsid w:val="00AA5B9E"/>
    <w:rsid w:val="00AA5BE0"/>
    <w:rsid w:val="00AA5FDE"/>
    <w:rsid w:val="00AA7406"/>
    <w:rsid w:val="00AB008F"/>
    <w:rsid w:val="00AB0A35"/>
    <w:rsid w:val="00AB0B54"/>
    <w:rsid w:val="00AB0BB2"/>
    <w:rsid w:val="00AB156A"/>
    <w:rsid w:val="00AB1A00"/>
    <w:rsid w:val="00AB1EB8"/>
    <w:rsid w:val="00AB2407"/>
    <w:rsid w:val="00AB28E6"/>
    <w:rsid w:val="00AB37DA"/>
    <w:rsid w:val="00AB3D3E"/>
    <w:rsid w:val="00AB3E38"/>
    <w:rsid w:val="00AB3EEF"/>
    <w:rsid w:val="00AB41A6"/>
    <w:rsid w:val="00AB44E4"/>
    <w:rsid w:val="00AB53DF"/>
    <w:rsid w:val="00AB6305"/>
    <w:rsid w:val="00AC0DC8"/>
    <w:rsid w:val="00AC113D"/>
    <w:rsid w:val="00AC1745"/>
    <w:rsid w:val="00AC186E"/>
    <w:rsid w:val="00AC4379"/>
    <w:rsid w:val="00AC489F"/>
    <w:rsid w:val="00AC585A"/>
    <w:rsid w:val="00AC6C49"/>
    <w:rsid w:val="00AC7355"/>
    <w:rsid w:val="00AC7672"/>
    <w:rsid w:val="00AD083D"/>
    <w:rsid w:val="00AD1001"/>
    <w:rsid w:val="00AD1BC2"/>
    <w:rsid w:val="00AD2A90"/>
    <w:rsid w:val="00AD3132"/>
    <w:rsid w:val="00AD4080"/>
    <w:rsid w:val="00AD48BD"/>
    <w:rsid w:val="00AD5082"/>
    <w:rsid w:val="00AD521B"/>
    <w:rsid w:val="00AD5541"/>
    <w:rsid w:val="00AD6FAC"/>
    <w:rsid w:val="00AD6FE7"/>
    <w:rsid w:val="00AE0C45"/>
    <w:rsid w:val="00AE0DB2"/>
    <w:rsid w:val="00AE117A"/>
    <w:rsid w:val="00AE2BB0"/>
    <w:rsid w:val="00AE39B8"/>
    <w:rsid w:val="00AE4390"/>
    <w:rsid w:val="00AE4F55"/>
    <w:rsid w:val="00AE5660"/>
    <w:rsid w:val="00AE5FB7"/>
    <w:rsid w:val="00AE6BEF"/>
    <w:rsid w:val="00AE7E1A"/>
    <w:rsid w:val="00AF057E"/>
    <w:rsid w:val="00AF0E42"/>
    <w:rsid w:val="00AF1725"/>
    <w:rsid w:val="00AF1B74"/>
    <w:rsid w:val="00AF1FAB"/>
    <w:rsid w:val="00AF2701"/>
    <w:rsid w:val="00AF2837"/>
    <w:rsid w:val="00AF2A38"/>
    <w:rsid w:val="00AF2F24"/>
    <w:rsid w:val="00AF3E4F"/>
    <w:rsid w:val="00AF3FC5"/>
    <w:rsid w:val="00AF4370"/>
    <w:rsid w:val="00AF4414"/>
    <w:rsid w:val="00AF520A"/>
    <w:rsid w:val="00AF522B"/>
    <w:rsid w:val="00AF5CFB"/>
    <w:rsid w:val="00AF5FED"/>
    <w:rsid w:val="00AF6829"/>
    <w:rsid w:val="00AF6A66"/>
    <w:rsid w:val="00AF7E01"/>
    <w:rsid w:val="00B00467"/>
    <w:rsid w:val="00B00952"/>
    <w:rsid w:val="00B014D9"/>
    <w:rsid w:val="00B03580"/>
    <w:rsid w:val="00B046F3"/>
    <w:rsid w:val="00B050E8"/>
    <w:rsid w:val="00B05DB1"/>
    <w:rsid w:val="00B06527"/>
    <w:rsid w:val="00B06714"/>
    <w:rsid w:val="00B06F83"/>
    <w:rsid w:val="00B0783F"/>
    <w:rsid w:val="00B07D65"/>
    <w:rsid w:val="00B07E5C"/>
    <w:rsid w:val="00B10FE4"/>
    <w:rsid w:val="00B1158A"/>
    <w:rsid w:val="00B11FB3"/>
    <w:rsid w:val="00B121C0"/>
    <w:rsid w:val="00B12607"/>
    <w:rsid w:val="00B1272A"/>
    <w:rsid w:val="00B12898"/>
    <w:rsid w:val="00B12C3C"/>
    <w:rsid w:val="00B14D10"/>
    <w:rsid w:val="00B14F7D"/>
    <w:rsid w:val="00B15AE1"/>
    <w:rsid w:val="00B16275"/>
    <w:rsid w:val="00B17D4B"/>
    <w:rsid w:val="00B17E49"/>
    <w:rsid w:val="00B20A5B"/>
    <w:rsid w:val="00B20D77"/>
    <w:rsid w:val="00B21A50"/>
    <w:rsid w:val="00B21C03"/>
    <w:rsid w:val="00B22382"/>
    <w:rsid w:val="00B223B2"/>
    <w:rsid w:val="00B2247F"/>
    <w:rsid w:val="00B22681"/>
    <w:rsid w:val="00B22A44"/>
    <w:rsid w:val="00B23945"/>
    <w:rsid w:val="00B23D41"/>
    <w:rsid w:val="00B23EEE"/>
    <w:rsid w:val="00B241C8"/>
    <w:rsid w:val="00B26321"/>
    <w:rsid w:val="00B26C0D"/>
    <w:rsid w:val="00B2742C"/>
    <w:rsid w:val="00B3115B"/>
    <w:rsid w:val="00B31F1E"/>
    <w:rsid w:val="00B32848"/>
    <w:rsid w:val="00B34176"/>
    <w:rsid w:val="00B359E3"/>
    <w:rsid w:val="00B3620F"/>
    <w:rsid w:val="00B363D7"/>
    <w:rsid w:val="00B36920"/>
    <w:rsid w:val="00B378BA"/>
    <w:rsid w:val="00B379F5"/>
    <w:rsid w:val="00B37C88"/>
    <w:rsid w:val="00B402C4"/>
    <w:rsid w:val="00B40F10"/>
    <w:rsid w:val="00B41F9E"/>
    <w:rsid w:val="00B43177"/>
    <w:rsid w:val="00B440E7"/>
    <w:rsid w:val="00B44A7F"/>
    <w:rsid w:val="00B45F75"/>
    <w:rsid w:val="00B46300"/>
    <w:rsid w:val="00B464C1"/>
    <w:rsid w:val="00B47142"/>
    <w:rsid w:val="00B47B08"/>
    <w:rsid w:val="00B47C8B"/>
    <w:rsid w:val="00B506AB"/>
    <w:rsid w:val="00B508EB"/>
    <w:rsid w:val="00B52CC5"/>
    <w:rsid w:val="00B52F98"/>
    <w:rsid w:val="00B53461"/>
    <w:rsid w:val="00B53863"/>
    <w:rsid w:val="00B543A2"/>
    <w:rsid w:val="00B548E2"/>
    <w:rsid w:val="00B54E90"/>
    <w:rsid w:val="00B56C63"/>
    <w:rsid w:val="00B57013"/>
    <w:rsid w:val="00B57CB7"/>
    <w:rsid w:val="00B60DB3"/>
    <w:rsid w:val="00B6145E"/>
    <w:rsid w:val="00B6149B"/>
    <w:rsid w:val="00B62774"/>
    <w:rsid w:val="00B6367F"/>
    <w:rsid w:val="00B64E7E"/>
    <w:rsid w:val="00B6565C"/>
    <w:rsid w:val="00B670E4"/>
    <w:rsid w:val="00B67846"/>
    <w:rsid w:val="00B67B6A"/>
    <w:rsid w:val="00B67F67"/>
    <w:rsid w:val="00B67FC3"/>
    <w:rsid w:val="00B7029D"/>
    <w:rsid w:val="00B716C5"/>
    <w:rsid w:val="00B71E83"/>
    <w:rsid w:val="00B7272F"/>
    <w:rsid w:val="00B73B50"/>
    <w:rsid w:val="00B77EDF"/>
    <w:rsid w:val="00B77F25"/>
    <w:rsid w:val="00B8010E"/>
    <w:rsid w:val="00B811F7"/>
    <w:rsid w:val="00B81839"/>
    <w:rsid w:val="00B84183"/>
    <w:rsid w:val="00B84512"/>
    <w:rsid w:val="00B8457F"/>
    <w:rsid w:val="00B85244"/>
    <w:rsid w:val="00B85C88"/>
    <w:rsid w:val="00B879AB"/>
    <w:rsid w:val="00B901F2"/>
    <w:rsid w:val="00B902FC"/>
    <w:rsid w:val="00B912D8"/>
    <w:rsid w:val="00B9371A"/>
    <w:rsid w:val="00B9390B"/>
    <w:rsid w:val="00B93D7C"/>
    <w:rsid w:val="00B94C4D"/>
    <w:rsid w:val="00B95F23"/>
    <w:rsid w:val="00B97678"/>
    <w:rsid w:val="00BA0F36"/>
    <w:rsid w:val="00BA1606"/>
    <w:rsid w:val="00BA1976"/>
    <w:rsid w:val="00BA426A"/>
    <w:rsid w:val="00BA4A54"/>
    <w:rsid w:val="00BA5008"/>
    <w:rsid w:val="00BA54C7"/>
    <w:rsid w:val="00BA5DC6"/>
    <w:rsid w:val="00BA6196"/>
    <w:rsid w:val="00BA6C1E"/>
    <w:rsid w:val="00BA7DFB"/>
    <w:rsid w:val="00BB0894"/>
    <w:rsid w:val="00BB36DC"/>
    <w:rsid w:val="00BB466F"/>
    <w:rsid w:val="00BB586E"/>
    <w:rsid w:val="00BB5954"/>
    <w:rsid w:val="00BB5E6A"/>
    <w:rsid w:val="00BB622F"/>
    <w:rsid w:val="00BB668A"/>
    <w:rsid w:val="00BB731B"/>
    <w:rsid w:val="00BC0C7F"/>
    <w:rsid w:val="00BC0D5A"/>
    <w:rsid w:val="00BC1B67"/>
    <w:rsid w:val="00BC27EA"/>
    <w:rsid w:val="00BC3934"/>
    <w:rsid w:val="00BC406E"/>
    <w:rsid w:val="00BC40FA"/>
    <w:rsid w:val="00BC566B"/>
    <w:rsid w:val="00BC5D9C"/>
    <w:rsid w:val="00BC6560"/>
    <w:rsid w:val="00BC6D8C"/>
    <w:rsid w:val="00BC6FB4"/>
    <w:rsid w:val="00BC7701"/>
    <w:rsid w:val="00BD156E"/>
    <w:rsid w:val="00BD1A6D"/>
    <w:rsid w:val="00BD1F06"/>
    <w:rsid w:val="00BD249A"/>
    <w:rsid w:val="00BD4D7B"/>
    <w:rsid w:val="00BD66A5"/>
    <w:rsid w:val="00BD68A3"/>
    <w:rsid w:val="00BD6F04"/>
    <w:rsid w:val="00BD796E"/>
    <w:rsid w:val="00BE181E"/>
    <w:rsid w:val="00BE1C13"/>
    <w:rsid w:val="00BE1D90"/>
    <w:rsid w:val="00BE1F73"/>
    <w:rsid w:val="00BE211C"/>
    <w:rsid w:val="00BE221A"/>
    <w:rsid w:val="00BE22A8"/>
    <w:rsid w:val="00BE257B"/>
    <w:rsid w:val="00BE25BD"/>
    <w:rsid w:val="00BE33A4"/>
    <w:rsid w:val="00BE40BD"/>
    <w:rsid w:val="00BE4187"/>
    <w:rsid w:val="00BE4AAB"/>
    <w:rsid w:val="00BE501D"/>
    <w:rsid w:val="00BE5126"/>
    <w:rsid w:val="00BE5D2D"/>
    <w:rsid w:val="00BE6FAD"/>
    <w:rsid w:val="00BF0C65"/>
    <w:rsid w:val="00BF169C"/>
    <w:rsid w:val="00BF23C6"/>
    <w:rsid w:val="00BF27D9"/>
    <w:rsid w:val="00BF2841"/>
    <w:rsid w:val="00BF41E5"/>
    <w:rsid w:val="00BF5504"/>
    <w:rsid w:val="00BF5A71"/>
    <w:rsid w:val="00BF7353"/>
    <w:rsid w:val="00BF744A"/>
    <w:rsid w:val="00C00522"/>
    <w:rsid w:val="00C006A3"/>
    <w:rsid w:val="00C01730"/>
    <w:rsid w:val="00C0372A"/>
    <w:rsid w:val="00C03965"/>
    <w:rsid w:val="00C03F70"/>
    <w:rsid w:val="00C04657"/>
    <w:rsid w:val="00C04A23"/>
    <w:rsid w:val="00C04B9B"/>
    <w:rsid w:val="00C068F1"/>
    <w:rsid w:val="00C0752E"/>
    <w:rsid w:val="00C0776E"/>
    <w:rsid w:val="00C07C27"/>
    <w:rsid w:val="00C10796"/>
    <w:rsid w:val="00C11B0B"/>
    <w:rsid w:val="00C11D3A"/>
    <w:rsid w:val="00C123F4"/>
    <w:rsid w:val="00C127D2"/>
    <w:rsid w:val="00C13AD3"/>
    <w:rsid w:val="00C13BFB"/>
    <w:rsid w:val="00C15BA2"/>
    <w:rsid w:val="00C16DDA"/>
    <w:rsid w:val="00C17641"/>
    <w:rsid w:val="00C17C0E"/>
    <w:rsid w:val="00C20374"/>
    <w:rsid w:val="00C205E6"/>
    <w:rsid w:val="00C2089A"/>
    <w:rsid w:val="00C20F3E"/>
    <w:rsid w:val="00C2126E"/>
    <w:rsid w:val="00C212F4"/>
    <w:rsid w:val="00C21CF7"/>
    <w:rsid w:val="00C234E3"/>
    <w:rsid w:val="00C23D51"/>
    <w:rsid w:val="00C24379"/>
    <w:rsid w:val="00C243E9"/>
    <w:rsid w:val="00C30F97"/>
    <w:rsid w:val="00C325EA"/>
    <w:rsid w:val="00C332DB"/>
    <w:rsid w:val="00C33E29"/>
    <w:rsid w:val="00C34006"/>
    <w:rsid w:val="00C341AF"/>
    <w:rsid w:val="00C34428"/>
    <w:rsid w:val="00C35715"/>
    <w:rsid w:val="00C35B8E"/>
    <w:rsid w:val="00C36423"/>
    <w:rsid w:val="00C36932"/>
    <w:rsid w:val="00C36B4C"/>
    <w:rsid w:val="00C370E2"/>
    <w:rsid w:val="00C4063E"/>
    <w:rsid w:val="00C426B1"/>
    <w:rsid w:val="00C44FA1"/>
    <w:rsid w:val="00C4523E"/>
    <w:rsid w:val="00C45791"/>
    <w:rsid w:val="00C459D3"/>
    <w:rsid w:val="00C4676A"/>
    <w:rsid w:val="00C46E32"/>
    <w:rsid w:val="00C47368"/>
    <w:rsid w:val="00C47A71"/>
    <w:rsid w:val="00C47B45"/>
    <w:rsid w:val="00C507DE"/>
    <w:rsid w:val="00C50DE5"/>
    <w:rsid w:val="00C51D3B"/>
    <w:rsid w:val="00C52B84"/>
    <w:rsid w:val="00C53A7F"/>
    <w:rsid w:val="00C53B97"/>
    <w:rsid w:val="00C53DEC"/>
    <w:rsid w:val="00C548A7"/>
    <w:rsid w:val="00C54DF5"/>
    <w:rsid w:val="00C5574E"/>
    <w:rsid w:val="00C55D83"/>
    <w:rsid w:val="00C57677"/>
    <w:rsid w:val="00C57924"/>
    <w:rsid w:val="00C6033D"/>
    <w:rsid w:val="00C60E2F"/>
    <w:rsid w:val="00C61FCE"/>
    <w:rsid w:val="00C62B28"/>
    <w:rsid w:val="00C643E6"/>
    <w:rsid w:val="00C65885"/>
    <w:rsid w:val="00C65FF7"/>
    <w:rsid w:val="00C66160"/>
    <w:rsid w:val="00C66EA8"/>
    <w:rsid w:val="00C721AC"/>
    <w:rsid w:val="00C72565"/>
    <w:rsid w:val="00C734F0"/>
    <w:rsid w:val="00C7452F"/>
    <w:rsid w:val="00C74882"/>
    <w:rsid w:val="00C8325B"/>
    <w:rsid w:val="00C870F4"/>
    <w:rsid w:val="00C908AE"/>
    <w:rsid w:val="00C90D6A"/>
    <w:rsid w:val="00C920DE"/>
    <w:rsid w:val="00C92362"/>
    <w:rsid w:val="00C9275E"/>
    <w:rsid w:val="00C92AEE"/>
    <w:rsid w:val="00C93414"/>
    <w:rsid w:val="00C935C3"/>
    <w:rsid w:val="00C945C1"/>
    <w:rsid w:val="00C94823"/>
    <w:rsid w:val="00C94B0F"/>
    <w:rsid w:val="00C95697"/>
    <w:rsid w:val="00C96C6F"/>
    <w:rsid w:val="00C97761"/>
    <w:rsid w:val="00C977D9"/>
    <w:rsid w:val="00CA033A"/>
    <w:rsid w:val="00CA2367"/>
    <w:rsid w:val="00CA247E"/>
    <w:rsid w:val="00CA43C7"/>
    <w:rsid w:val="00CA46A3"/>
    <w:rsid w:val="00CA4D3D"/>
    <w:rsid w:val="00CA6423"/>
    <w:rsid w:val="00CA6891"/>
    <w:rsid w:val="00CA6D21"/>
    <w:rsid w:val="00CA6ECF"/>
    <w:rsid w:val="00CA7D07"/>
    <w:rsid w:val="00CB0614"/>
    <w:rsid w:val="00CB0982"/>
    <w:rsid w:val="00CB2991"/>
    <w:rsid w:val="00CB2F5A"/>
    <w:rsid w:val="00CB43F5"/>
    <w:rsid w:val="00CB4540"/>
    <w:rsid w:val="00CB524B"/>
    <w:rsid w:val="00CB6927"/>
    <w:rsid w:val="00CB710E"/>
    <w:rsid w:val="00CC002A"/>
    <w:rsid w:val="00CC0CB5"/>
    <w:rsid w:val="00CC16A3"/>
    <w:rsid w:val="00CC1EA0"/>
    <w:rsid w:val="00CC2107"/>
    <w:rsid w:val="00CC23B4"/>
    <w:rsid w:val="00CC2573"/>
    <w:rsid w:val="00CC28D6"/>
    <w:rsid w:val="00CC298C"/>
    <w:rsid w:val="00CC2B84"/>
    <w:rsid w:val="00CC2CD4"/>
    <w:rsid w:val="00CC2E3A"/>
    <w:rsid w:val="00CC3EEF"/>
    <w:rsid w:val="00CC41FB"/>
    <w:rsid w:val="00CC47F9"/>
    <w:rsid w:val="00CC61EB"/>
    <w:rsid w:val="00CC67A1"/>
    <w:rsid w:val="00CC6DA8"/>
    <w:rsid w:val="00CC72B6"/>
    <w:rsid w:val="00CC7C0D"/>
    <w:rsid w:val="00CC7C4D"/>
    <w:rsid w:val="00CD038E"/>
    <w:rsid w:val="00CD0B41"/>
    <w:rsid w:val="00CD1303"/>
    <w:rsid w:val="00CD141F"/>
    <w:rsid w:val="00CD165D"/>
    <w:rsid w:val="00CD1E9C"/>
    <w:rsid w:val="00CD2F8D"/>
    <w:rsid w:val="00CD31B0"/>
    <w:rsid w:val="00CD38EF"/>
    <w:rsid w:val="00CD3E44"/>
    <w:rsid w:val="00CD4443"/>
    <w:rsid w:val="00CD50EB"/>
    <w:rsid w:val="00CD6586"/>
    <w:rsid w:val="00CD6C68"/>
    <w:rsid w:val="00CE265C"/>
    <w:rsid w:val="00CE2B25"/>
    <w:rsid w:val="00CE3ECD"/>
    <w:rsid w:val="00CE5DCB"/>
    <w:rsid w:val="00CE66D6"/>
    <w:rsid w:val="00CE703E"/>
    <w:rsid w:val="00CF0827"/>
    <w:rsid w:val="00CF0C1A"/>
    <w:rsid w:val="00CF14C5"/>
    <w:rsid w:val="00CF246A"/>
    <w:rsid w:val="00CF2B69"/>
    <w:rsid w:val="00CF38DC"/>
    <w:rsid w:val="00CF4A9E"/>
    <w:rsid w:val="00CF5D2C"/>
    <w:rsid w:val="00CF70E1"/>
    <w:rsid w:val="00CF74A0"/>
    <w:rsid w:val="00CF770E"/>
    <w:rsid w:val="00CF7A00"/>
    <w:rsid w:val="00D00B05"/>
    <w:rsid w:val="00D00FD0"/>
    <w:rsid w:val="00D00FEF"/>
    <w:rsid w:val="00D01709"/>
    <w:rsid w:val="00D01E65"/>
    <w:rsid w:val="00D0218D"/>
    <w:rsid w:val="00D025B0"/>
    <w:rsid w:val="00D026B7"/>
    <w:rsid w:val="00D0275D"/>
    <w:rsid w:val="00D02981"/>
    <w:rsid w:val="00D02E09"/>
    <w:rsid w:val="00D032A0"/>
    <w:rsid w:val="00D03436"/>
    <w:rsid w:val="00D03A1C"/>
    <w:rsid w:val="00D03B4E"/>
    <w:rsid w:val="00D03CAA"/>
    <w:rsid w:val="00D03E8D"/>
    <w:rsid w:val="00D052CC"/>
    <w:rsid w:val="00D05B4E"/>
    <w:rsid w:val="00D05E7C"/>
    <w:rsid w:val="00D06A93"/>
    <w:rsid w:val="00D06D91"/>
    <w:rsid w:val="00D074E1"/>
    <w:rsid w:val="00D110B1"/>
    <w:rsid w:val="00D1134D"/>
    <w:rsid w:val="00D12A3C"/>
    <w:rsid w:val="00D15407"/>
    <w:rsid w:val="00D16498"/>
    <w:rsid w:val="00D16859"/>
    <w:rsid w:val="00D201C0"/>
    <w:rsid w:val="00D205E8"/>
    <w:rsid w:val="00D2064D"/>
    <w:rsid w:val="00D20EDC"/>
    <w:rsid w:val="00D23E38"/>
    <w:rsid w:val="00D24534"/>
    <w:rsid w:val="00D25297"/>
    <w:rsid w:val="00D252C2"/>
    <w:rsid w:val="00D25459"/>
    <w:rsid w:val="00D25CC6"/>
    <w:rsid w:val="00D25D0B"/>
    <w:rsid w:val="00D25D10"/>
    <w:rsid w:val="00D25FB5"/>
    <w:rsid w:val="00D2637C"/>
    <w:rsid w:val="00D26CF9"/>
    <w:rsid w:val="00D30036"/>
    <w:rsid w:val="00D30608"/>
    <w:rsid w:val="00D30F95"/>
    <w:rsid w:val="00D3126F"/>
    <w:rsid w:val="00D31B8D"/>
    <w:rsid w:val="00D3256E"/>
    <w:rsid w:val="00D352CE"/>
    <w:rsid w:val="00D354A7"/>
    <w:rsid w:val="00D40E85"/>
    <w:rsid w:val="00D41775"/>
    <w:rsid w:val="00D41BE7"/>
    <w:rsid w:val="00D41D53"/>
    <w:rsid w:val="00D4261A"/>
    <w:rsid w:val="00D4267A"/>
    <w:rsid w:val="00D43DA3"/>
    <w:rsid w:val="00D440D5"/>
    <w:rsid w:val="00D44223"/>
    <w:rsid w:val="00D44BDA"/>
    <w:rsid w:val="00D4574D"/>
    <w:rsid w:val="00D466AE"/>
    <w:rsid w:val="00D46BFF"/>
    <w:rsid w:val="00D47584"/>
    <w:rsid w:val="00D4776B"/>
    <w:rsid w:val="00D5006B"/>
    <w:rsid w:val="00D50200"/>
    <w:rsid w:val="00D50568"/>
    <w:rsid w:val="00D50E52"/>
    <w:rsid w:val="00D518F8"/>
    <w:rsid w:val="00D52762"/>
    <w:rsid w:val="00D52A4B"/>
    <w:rsid w:val="00D52BC7"/>
    <w:rsid w:val="00D53BC9"/>
    <w:rsid w:val="00D53CE7"/>
    <w:rsid w:val="00D53CF0"/>
    <w:rsid w:val="00D55BAD"/>
    <w:rsid w:val="00D55CB7"/>
    <w:rsid w:val="00D56546"/>
    <w:rsid w:val="00D5678A"/>
    <w:rsid w:val="00D56E7B"/>
    <w:rsid w:val="00D56F24"/>
    <w:rsid w:val="00D56FD8"/>
    <w:rsid w:val="00D61102"/>
    <w:rsid w:val="00D63EB3"/>
    <w:rsid w:val="00D63EF7"/>
    <w:rsid w:val="00D64125"/>
    <w:rsid w:val="00D64291"/>
    <w:rsid w:val="00D647D1"/>
    <w:rsid w:val="00D6573B"/>
    <w:rsid w:val="00D65A8E"/>
    <w:rsid w:val="00D65B99"/>
    <w:rsid w:val="00D66D00"/>
    <w:rsid w:val="00D670B4"/>
    <w:rsid w:val="00D671E1"/>
    <w:rsid w:val="00D704B9"/>
    <w:rsid w:val="00D709B8"/>
    <w:rsid w:val="00D70AC3"/>
    <w:rsid w:val="00D7131B"/>
    <w:rsid w:val="00D71EC6"/>
    <w:rsid w:val="00D71F79"/>
    <w:rsid w:val="00D72420"/>
    <w:rsid w:val="00D732CB"/>
    <w:rsid w:val="00D734B6"/>
    <w:rsid w:val="00D738B2"/>
    <w:rsid w:val="00D73908"/>
    <w:rsid w:val="00D73D6A"/>
    <w:rsid w:val="00D74802"/>
    <w:rsid w:val="00D751FD"/>
    <w:rsid w:val="00D75DD5"/>
    <w:rsid w:val="00D763E5"/>
    <w:rsid w:val="00D771AF"/>
    <w:rsid w:val="00D77978"/>
    <w:rsid w:val="00D80894"/>
    <w:rsid w:val="00D8199B"/>
    <w:rsid w:val="00D81A9B"/>
    <w:rsid w:val="00D81C5D"/>
    <w:rsid w:val="00D81CF8"/>
    <w:rsid w:val="00D8265C"/>
    <w:rsid w:val="00D8270D"/>
    <w:rsid w:val="00D82A82"/>
    <w:rsid w:val="00D845C0"/>
    <w:rsid w:val="00D84E70"/>
    <w:rsid w:val="00D86A2D"/>
    <w:rsid w:val="00D874F5"/>
    <w:rsid w:val="00D8759F"/>
    <w:rsid w:val="00D90BAB"/>
    <w:rsid w:val="00D90E3B"/>
    <w:rsid w:val="00D90F3D"/>
    <w:rsid w:val="00D910DF"/>
    <w:rsid w:val="00D91EFB"/>
    <w:rsid w:val="00D93C0C"/>
    <w:rsid w:val="00D9529B"/>
    <w:rsid w:val="00D95E3B"/>
    <w:rsid w:val="00DA00DB"/>
    <w:rsid w:val="00DA0C7A"/>
    <w:rsid w:val="00DA0EB3"/>
    <w:rsid w:val="00DA1910"/>
    <w:rsid w:val="00DA2529"/>
    <w:rsid w:val="00DA2BC4"/>
    <w:rsid w:val="00DA34B7"/>
    <w:rsid w:val="00DA37DF"/>
    <w:rsid w:val="00DA3BF7"/>
    <w:rsid w:val="00DA5822"/>
    <w:rsid w:val="00DA6910"/>
    <w:rsid w:val="00DA7390"/>
    <w:rsid w:val="00DB0466"/>
    <w:rsid w:val="00DB062B"/>
    <w:rsid w:val="00DB130A"/>
    <w:rsid w:val="00DB1393"/>
    <w:rsid w:val="00DB13B2"/>
    <w:rsid w:val="00DB28B8"/>
    <w:rsid w:val="00DB2EBB"/>
    <w:rsid w:val="00DB2F28"/>
    <w:rsid w:val="00DB4258"/>
    <w:rsid w:val="00DB47DC"/>
    <w:rsid w:val="00DB594A"/>
    <w:rsid w:val="00DB676E"/>
    <w:rsid w:val="00DB6CF8"/>
    <w:rsid w:val="00DC0AF4"/>
    <w:rsid w:val="00DC10A1"/>
    <w:rsid w:val="00DC13D8"/>
    <w:rsid w:val="00DC157F"/>
    <w:rsid w:val="00DC1FCB"/>
    <w:rsid w:val="00DC2EC4"/>
    <w:rsid w:val="00DC2F6C"/>
    <w:rsid w:val="00DC3462"/>
    <w:rsid w:val="00DC4612"/>
    <w:rsid w:val="00DC599B"/>
    <w:rsid w:val="00DC5CBE"/>
    <w:rsid w:val="00DC5CFD"/>
    <w:rsid w:val="00DC64CB"/>
    <w:rsid w:val="00DC655F"/>
    <w:rsid w:val="00DD0AAA"/>
    <w:rsid w:val="00DD0B59"/>
    <w:rsid w:val="00DD0DB8"/>
    <w:rsid w:val="00DD2EC0"/>
    <w:rsid w:val="00DD39F1"/>
    <w:rsid w:val="00DD3DDE"/>
    <w:rsid w:val="00DD4F28"/>
    <w:rsid w:val="00DD53CE"/>
    <w:rsid w:val="00DD780A"/>
    <w:rsid w:val="00DD7EBD"/>
    <w:rsid w:val="00DE1878"/>
    <w:rsid w:val="00DE3B07"/>
    <w:rsid w:val="00DE422C"/>
    <w:rsid w:val="00DE4554"/>
    <w:rsid w:val="00DE55E8"/>
    <w:rsid w:val="00DE65C3"/>
    <w:rsid w:val="00DE6CDC"/>
    <w:rsid w:val="00DE7ACE"/>
    <w:rsid w:val="00DF0643"/>
    <w:rsid w:val="00DF1A09"/>
    <w:rsid w:val="00DF1C0A"/>
    <w:rsid w:val="00DF2C10"/>
    <w:rsid w:val="00DF2E21"/>
    <w:rsid w:val="00DF339A"/>
    <w:rsid w:val="00DF33E9"/>
    <w:rsid w:val="00DF3928"/>
    <w:rsid w:val="00DF3961"/>
    <w:rsid w:val="00DF3F87"/>
    <w:rsid w:val="00DF432E"/>
    <w:rsid w:val="00DF5697"/>
    <w:rsid w:val="00DF6158"/>
    <w:rsid w:val="00DF62B6"/>
    <w:rsid w:val="00DF696E"/>
    <w:rsid w:val="00E01DA5"/>
    <w:rsid w:val="00E02773"/>
    <w:rsid w:val="00E031C6"/>
    <w:rsid w:val="00E03792"/>
    <w:rsid w:val="00E0382E"/>
    <w:rsid w:val="00E05484"/>
    <w:rsid w:val="00E060F3"/>
    <w:rsid w:val="00E06658"/>
    <w:rsid w:val="00E06875"/>
    <w:rsid w:val="00E07225"/>
    <w:rsid w:val="00E07459"/>
    <w:rsid w:val="00E07E45"/>
    <w:rsid w:val="00E1021A"/>
    <w:rsid w:val="00E105A2"/>
    <w:rsid w:val="00E10968"/>
    <w:rsid w:val="00E10B03"/>
    <w:rsid w:val="00E11A44"/>
    <w:rsid w:val="00E12667"/>
    <w:rsid w:val="00E12E61"/>
    <w:rsid w:val="00E13C3C"/>
    <w:rsid w:val="00E16064"/>
    <w:rsid w:val="00E17C3F"/>
    <w:rsid w:val="00E2020E"/>
    <w:rsid w:val="00E20819"/>
    <w:rsid w:val="00E21531"/>
    <w:rsid w:val="00E215C0"/>
    <w:rsid w:val="00E21CC5"/>
    <w:rsid w:val="00E221A8"/>
    <w:rsid w:val="00E2252C"/>
    <w:rsid w:val="00E233C0"/>
    <w:rsid w:val="00E2376B"/>
    <w:rsid w:val="00E24398"/>
    <w:rsid w:val="00E2545A"/>
    <w:rsid w:val="00E2610E"/>
    <w:rsid w:val="00E261D9"/>
    <w:rsid w:val="00E27CB3"/>
    <w:rsid w:val="00E307E9"/>
    <w:rsid w:val="00E31C81"/>
    <w:rsid w:val="00E325DE"/>
    <w:rsid w:val="00E32D50"/>
    <w:rsid w:val="00E336BC"/>
    <w:rsid w:val="00E33A00"/>
    <w:rsid w:val="00E3472B"/>
    <w:rsid w:val="00E35241"/>
    <w:rsid w:val="00E35997"/>
    <w:rsid w:val="00E37C8D"/>
    <w:rsid w:val="00E401A9"/>
    <w:rsid w:val="00E40352"/>
    <w:rsid w:val="00E406DB"/>
    <w:rsid w:val="00E41209"/>
    <w:rsid w:val="00E423C1"/>
    <w:rsid w:val="00E42A1C"/>
    <w:rsid w:val="00E45830"/>
    <w:rsid w:val="00E45AAF"/>
    <w:rsid w:val="00E460A3"/>
    <w:rsid w:val="00E467B4"/>
    <w:rsid w:val="00E4690F"/>
    <w:rsid w:val="00E46AC9"/>
    <w:rsid w:val="00E50254"/>
    <w:rsid w:val="00E50924"/>
    <w:rsid w:val="00E51088"/>
    <w:rsid w:val="00E516D6"/>
    <w:rsid w:val="00E517FF"/>
    <w:rsid w:val="00E51F64"/>
    <w:rsid w:val="00E5277D"/>
    <w:rsid w:val="00E52815"/>
    <w:rsid w:val="00E534A7"/>
    <w:rsid w:val="00E53773"/>
    <w:rsid w:val="00E5409F"/>
    <w:rsid w:val="00E544F3"/>
    <w:rsid w:val="00E5558E"/>
    <w:rsid w:val="00E558B3"/>
    <w:rsid w:val="00E563BC"/>
    <w:rsid w:val="00E57349"/>
    <w:rsid w:val="00E602B2"/>
    <w:rsid w:val="00E61479"/>
    <w:rsid w:val="00E614BF"/>
    <w:rsid w:val="00E6215A"/>
    <w:rsid w:val="00E62A65"/>
    <w:rsid w:val="00E62B3D"/>
    <w:rsid w:val="00E62EBF"/>
    <w:rsid w:val="00E6400A"/>
    <w:rsid w:val="00E6415E"/>
    <w:rsid w:val="00E6421B"/>
    <w:rsid w:val="00E6606D"/>
    <w:rsid w:val="00E662EC"/>
    <w:rsid w:val="00E6633C"/>
    <w:rsid w:val="00E66594"/>
    <w:rsid w:val="00E66A5B"/>
    <w:rsid w:val="00E67ABC"/>
    <w:rsid w:val="00E67B70"/>
    <w:rsid w:val="00E70967"/>
    <w:rsid w:val="00E71585"/>
    <w:rsid w:val="00E71C5F"/>
    <w:rsid w:val="00E72AC7"/>
    <w:rsid w:val="00E73A7D"/>
    <w:rsid w:val="00E7442F"/>
    <w:rsid w:val="00E74DD2"/>
    <w:rsid w:val="00E75144"/>
    <w:rsid w:val="00E75C5A"/>
    <w:rsid w:val="00E767AF"/>
    <w:rsid w:val="00E7719D"/>
    <w:rsid w:val="00E773DB"/>
    <w:rsid w:val="00E77976"/>
    <w:rsid w:val="00E80D92"/>
    <w:rsid w:val="00E816C3"/>
    <w:rsid w:val="00E82490"/>
    <w:rsid w:val="00E83A46"/>
    <w:rsid w:val="00E84631"/>
    <w:rsid w:val="00E84B05"/>
    <w:rsid w:val="00E84C61"/>
    <w:rsid w:val="00E86B4F"/>
    <w:rsid w:val="00E86B55"/>
    <w:rsid w:val="00E87E7C"/>
    <w:rsid w:val="00E87F29"/>
    <w:rsid w:val="00E91514"/>
    <w:rsid w:val="00E928B4"/>
    <w:rsid w:val="00E932BD"/>
    <w:rsid w:val="00E93363"/>
    <w:rsid w:val="00E934CE"/>
    <w:rsid w:val="00E93F48"/>
    <w:rsid w:val="00E9468E"/>
    <w:rsid w:val="00E946A9"/>
    <w:rsid w:val="00E9498A"/>
    <w:rsid w:val="00E9574A"/>
    <w:rsid w:val="00E95D53"/>
    <w:rsid w:val="00E95F5E"/>
    <w:rsid w:val="00E96468"/>
    <w:rsid w:val="00E97570"/>
    <w:rsid w:val="00EA00C8"/>
    <w:rsid w:val="00EA083D"/>
    <w:rsid w:val="00EA317E"/>
    <w:rsid w:val="00EA3C93"/>
    <w:rsid w:val="00EA48D6"/>
    <w:rsid w:val="00EA4BD7"/>
    <w:rsid w:val="00EA4F14"/>
    <w:rsid w:val="00EA5060"/>
    <w:rsid w:val="00EA70C5"/>
    <w:rsid w:val="00EA7D13"/>
    <w:rsid w:val="00EA7EDC"/>
    <w:rsid w:val="00EA7EDD"/>
    <w:rsid w:val="00EB09F7"/>
    <w:rsid w:val="00EB0D30"/>
    <w:rsid w:val="00EB180C"/>
    <w:rsid w:val="00EB1CA3"/>
    <w:rsid w:val="00EB2AC3"/>
    <w:rsid w:val="00EB2D04"/>
    <w:rsid w:val="00EB412C"/>
    <w:rsid w:val="00EB4256"/>
    <w:rsid w:val="00EB4E92"/>
    <w:rsid w:val="00EB526A"/>
    <w:rsid w:val="00EB5B1D"/>
    <w:rsid w:val="00EB6676"/>
    <w:rsid w:val="00EB6EEC"/>
    <w:rsid w:val="00EB721B"/>
    <w:rsid w:val="00EB79ED"/>
    <w:rsid w:val="00EC0427"/>
    <w:rsid w:val="00EC17AF"/>
    <w:rsid w:val="00EC1917"/>
    <w:rsid w:val="00EC24BA"/>
    <w:rsid w:val="00EC26E2"/>
    <w:rsid w:val="00EC2FC1"/>
    <w:rsid w:val="00EC31F7"/>
    <w:rsid w:val="00EC5F4B"/>
    <w:rsid w:val="00EC6538"/>
    <w:rsid w:val="00EC66E2"/>
    <w:rsid w:val="00EC7B30"/>
    <w:rsid w:val="00ED0357"/>
    <w:rsid w:val="00ED0A89"/>
    <w:rsid w:val="00ED10CD"/>
    <w:rsid w:val="00ED1CEE"/>
    <w:rsid w:val="00ED2019"/>
    <w:rsid w:val="00ED2240"/>
    <w:rsid w:val="00ED260D"/>
    <w:rsid w:val="00ED5371"/>
    <w:rsid w:val="00ED5A64"/>
    <w:rsid w:val="00ED6B30"/>
    <w:rsid w:val="00ED740F"/>
    <w:rsid w:val="00ED7886"/>
    <w:rsid w:val="00EE0093"/>
    <w:rsid w:val="00EE0150"/>
    <w:rsid w:val="00EE047E"/>
    <w:rsid w:val="00EE17FD"/>
    <w:rsid w:val="00EE192F"/>
    <w:rsid w:val="00EE2206"/>
    <w:rsid w:val="00EE28D4"/>
    <w:rsid w:val="00EE3D62"/>
    <w:rsid w:val="00EE4841"/>
    <w:rsid w:val="00EE500F"/>
    <w:rsid w:val="00EE55CA"/>
    <w:rsid w:val="00EE5996"/>
    <w:rsid w:val="00EE6488"/>
    <w:rsid w:val="00EE6988"/>
    <w:rsid w:val="00EE6CDD"/>
    <w:rsid w:val="00EE719C"/>
    <w:rsid w:val="00EE738E"/>
    <w:rsid w:val="00EE7630"/>
    <w:rsid w:val="00EE7835"/>
    <w:rsid w:val="00EF01DF"/>
    <w:rsid w:val="00EF067A"/>
    <w:rsid w:val="00EF09BB"/>
    <w:rsid w:val="00EF09CC"/>
    <w:rsid w:val="00EF0B85"/>
    <w:rsid w:val="00EF0C3D"/>
    <w:rsid w:val="00EF1D35"/>
    <w:rsid w:val="00EF1F3A"/>
    <w:rsid w:val="00EF2251"/>
    <w:rsid w:val="00EF2479"/>
    <w:rsid w:val="00EF2BD7"/>
    <w:rsid w:val="00EF2F6A"/>
    <w:rsid w:val="00EF3562"/>
    <w:rsid w:val="00EF4FA3"/>
    <w:rsid w:val="00EF53C9"/>
    <w:rsid w:val="00EF5710"/>
    <w:rsid w:val="00EF5BCF"/>
    <w:rsid w:val="00EF6DAF"/>
    <w:rsid w:val="00EF707E"/>
    <w:rsid w:val="00EF70BD"/>
    <w:rsid w:val="00EF7289"/>
    <w:rsid w:val="00EF7412"/>
    <w:rsid w:val="00F01088"/>
    <w:rsid w:val="00F010D2"/>
    <w:rsid w:val="00F01365"/>
    <w:rsid w:val="00F01679"/>
    <w:rsid w:val="00F01C83"/>
    <w:rsid w:val="00F021FA"/>
    <w:rsid w:val="00F023F3"/>
    <w:rsid w:val="00F02A26"/>
    <w:rsid w:val="00F02C1C"/>
    <w:rsid w:val="00F05113"/>
    <w:rsid w:val="00F0616A"/>
    <w:rsid w:val="00F06239"/>
    <w:rsid w:val="00F0713E"/>
    <w:rsid w:val="00F071CD"/>
    <w:rsid w:val="00F07346"/>
    <w:rsid w:val="00F10074"/>
    <w:rsid w:val="00F1061D"/>
    <w:rsid w:val="00F1090D"/>
    <w:rsid w:val="00F118B2"/>
    <w:rsid w:val="00F13C34"/>
    <w:rsid w:val="00F13E42"/>
    <w:rsid w:val="00F14CF8"/>
    <w:rsid w:val="00F16F9C"/>
    <w:rsid w:val="00F174BE"/>
    <w:rsid w:val="00F175AD"/>
    <w:rsid w:val="00F17993"/>
    <w:rsid w:val="00F20047"/>
    <w:rsid w:val="00F2007F"/>
    <w:rsid w:val="00F215CF"/>
    <w:rsid w:val="00F2267F"/>
    <w:rsid w:val="00F22B52"/>
    <w:rsid w:val="00F22C6F"/>
    <w:rsid w:val="00F233E9"/>
    <w:rsid w:val="00F24144"/>
    <w:rsid w:val="00F2451B"/>
    <w:rsid w:val="00F24B06"/>
    <w:rsid w:val="00F24C17"/>
    <w:rsid w:val="00F25EAA"/>
    <w:rsid w:val="00F261FA"/>
    <w:rsid w:val="00F26461"/>
    <w:rsid w:val="00F27BE5"/>
    <w:rsid w:val="00F3050B"/>
    <w:rsid w:val="00F30554"/>
    <w:rsid w:val="00F30CFB"/>
    <w:rsid w:val="00F310BB"/>
    <w:rsid w:val="00F314AA"/>
    <w:rsid w:val="00F33FB2"/>
    <w:rsid w:val="00F3407E"/>
    <w:rsid w:val="00F34321"/>
    <w:rsid w:val="00F34D59"/>
    <w:rsid w:val="00F35E3F"/>
    <w:rsid w:val="00F35E94"/>
    <w:rsid w:val="00F364AC"/>
    <w:rsid w:val="00F37B94"/>
    <w:rsid w:val="00F40456"/>
    <w:rsid w:val="00F40981"/>
    <w:rsid w:val="00F40D93"/>
    <w:rsid w:val="00F412DA"/>
    <w:rsid w:val="00F413F5"/>
    <w:rsid w:val="00F42401"/>
    <w:rsid w:val="00F44205"/>
    <w:rsid w:val="00F4433D"/>
    <w:rsid w:val="00F44974"/>
    <w:rsid w:val="00F44A77"/>
    <w:rsid w:val="00F46106"/>
    <w:rsid w:val="00F46127"/>
    <w:rsid w:val="00F468DB"/>
    <w:rsid w:val="00F47091"/>
    <w:rsid w:val="00F475DC"/>
    <w:rsid w:val="00F50216"/>
    <w:rsid w:val="00F52A4F"/>
    <w:rsid w:val="00F5312F"/>
    <w:rsid w:val="00F53192"/>
    <w:rsid w:val="00F53CEA"/>
    <w:rsid w:val="00F53D88"/>
    <w:rsid w:val="00F53D95"/>
    <w:rsid w:val="00F5455F"/>
    <w:rsid w:val="00F5464E"/>
    <w:rsid w:val="00F54D73"/>
    <w:rsid w:val="00F55FC1"/>
    <w:rsid w:val="00F57421"/>
    <w:rsid w:val="00F576FA"/>
    <w:rsid w:val="00F62356"/>
    <w:rsid w:val="00F62A2B"/>
    <w:rsid w:val="00F62CCC"/>
    <w:rsid w:val="00F62E97"/>
    <w:rsid w:val="00F6313F"/>
    <w:rsid w:val="00F63BD7"/>
    <w:rsid w:val="00F64139"/>
    <w:rsid w:val="00F64209"/>
    <w:rsid w:val="00F658EC"/>
    <w:rsid w:val="00F65AD3"/>
    <w:rsid w:val="00F65F58"/>
    <w:rsid w:val="00F66937"/>
    <w:rsid w:val="00F669B0"/>
    <w:rsid w:val="00F66B5D"/>
    <w:rsid w:val="00F66BA5"/>
    <w:rsid w:val="00F66C25"/>
    <w:rsid w:val="00F70573"/>
    <w:rsid w:val="00F72DF9"/>
    <w:rsid w:val="00F73AF8"/>
    <w:rsid w:val="00F73D7F"/>
    <w:rsid w:val="00F7440E"/>
    <w:rsid w:val="00F74B0E"/>
    <w:rsid w:val="00F74D44"/>
    <w:rsid w:val="00F74EDE"/>
    <w:rsid w:val="00F74EF2"/>
    <w:rsid w:val="00F7547A"/>
    <w:rsid w:val="00F77896"/>
    <w:rsid w:val="00F77C44"/>
    <w:rsid w:val="00F8039E"/>
    <w:rsid w:val="00F80933"/>
    <w:rsid w:val="00F81639"/>
    <w:rsid w:val="00F81E8C"/>
    <w:rsid w:val="00F82348"/>
    <w:rsid w:val="00F82588"/>
    <w:rsid w:val="00F829AB"/>
    <w:rsid w:val="00F8389F"/>
    <w:rsid w:val="00F845FA"/>
    <w:rsid w:val="00F84F35"/>
    <w:rsid w:val="00F850AB"/>
    <w:rsid w:val="00F871A8"/>
    <w:rsid w:val="00F907E7"/>
    <w:rsid w:val="00F909E7"/>
    <w:rsid w:val="00F91CF6"/>
    <w:rsid w:val="00F922B3"/>
    <w:rsid w:val="00F93081"/>
    <w:rsid w:val="00F9368C"/>
    <w:rsid w:val="00F93BF5"/>
    <w:rsid w:val="00F93E5D"/>
    <w:rsid w:val="00F94A8B"/>
    <w:rsid w:val="00FA013D"/>
    <w:rsid w:val="00FA0ED3"/>
    <w:rsid w:val="00FA1547"/>
    <w:rsid w:val="00FA20F4"/>
    <w:rsid w:val="00FA3AEB"/>
    <w:rsid w:val="00FA40EE"/>
    <w:rsid w:val="00FA53E9"/>
    <w:rsid w:val="00FA56DB"/>
    <w:rsid w:val="00FA7FA8"/>
    <w:rsid w:val="00FB1B15"/>
    <w:rsid w:val="00FB1C28"/>
    <w:rsid w:val="00FB2231"/>
    <w:rsid w:val="00FB299B"/>
    <w:rsid w:val="00FB381A"/>
    <w:rsid w:val="00FB5B67"/>
    <w:rsid w:val="00FB60C0"/>
    <w:rsid w:val="00FB69E4"/>
    <w:rsid w:val="00FB6F27"/>
    <w:rsid w:val="00FB7579"/>
    <w:rsid w:val="00FB7A9D"/>
    <w:rsid w:val="00FB7F44"/>
    <w:rsid w:val="00FC06BD"/>
    <w:rsid w:val="00FC1063"/>
    <w:rsid w:val="00FC14A4"/>
    <w:rsid w:val="00FC1EAC"/>
    <w:rsid w:val="00FC201C"/>
    <w:rsid w:val="00FC2953"/>
    <w:rsid w:val="00FC2AD1"/>
    <w:rsid w:val="00FC3923"/>
    <w:rsid w:val="00FC3A0B"/>
    <w:rsid w:val="00FC407D"/>
    <w:rsid w:val="00FC5034"/>
    <w:rsid w:val="00FC7264"/>
    <w:rsid w:val="00FC739B"/>
    <w:rsid w:val="00FC796F"/>
    <w:rsid w:val="00FC7DCE"/>
    <w:rsid w:val="00FD2A3C"/>
    <w:rsid w:val="00FD3372"/>
    <w:rsid w:val="00FD36B4"/>
    <w:rsid w:val="00FD3B1F"/>
    <w:rsid w:val="00FD48A9"/>
    <w:rsid w:val="00FD5247"/>
    <w:rsid w:val="00FD56F8"/>
    <w:rsid w:val="00FD6470"/>
    <w:rsid w:val="00FD703B"/>
    <w:rsid w:val="00FD77A2"/>
    <w:rsid w:val="00FD7FAE"/>
    <w:rsid w:val="00FE01F4"/>
    <w:rsid w:val="00FE06C2"/>
    <w:rsid w:val="00FE1DE0"/>
    <w:rsid w:val="00FE33AB"/>
    <w:rsid w:val="00FE3DFF"/>
    <w:rsid w:val="00FE528D"/>
    <w:rsid w:val="00FE68F5"/>
    <w:rsid w:val="00FE69BA"/>
    <w:rsid w:val="00FE6D45"/>
    <w:rsid w:val="00FF03F9"/>
    <w:rsid w:val="00FF1070"/>
    <w:rsid w:val="00FF1474"/>
    <w:rsid w:val="00FF1943"/>
    <w:rsid w:val="00FF1EE2"/>
    <w:rsid w:val="00FF2EEC"/>
    <w:rsid w:val="00FF41C3"/>
    <w:rsid w:val="00FF4F67"/>
    <w:rsid w:val="00FF59AF"/>
    <w:rsid w:val="00FF5D71"/>
    <w:rsid w:val="00FF6BEA"/>
    <w:rsid w:val="00FF7226"/>
    <w:rsid w:val="00FF73CE"/>
    <w:rsid w:val="00FF7787"/>
    <w:rsid w:val="00FF7958"/>
    <w:rsid w:val="00FF7ED7"/>
    <w:rsid w:val="3E09C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C25A"/>
  <w15:chartTrackingRefBased/>
  <w15:docId w15:val="{B0BAAF73-4FE6-4A54-8554-8A0475A5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FE"/>
    <w:pPr>
      <w:widowControl w:val="0"/>
    </w:pPr>
    <w:rPr>
      <w:snapToGrid w:val="0"/>
      <w:kern w:val="28"/>
      <w:sz w:val="22"/>
    </w:rPr>
  </w:style>
  <w:style w:type="paragraph" w:styleId="Heading1">
    <w:name w:val="heading 1"/>
    <w:aliases w:val="Heading 1 Char Char,Heading 1 Char Char Char,Heading 1 Char Char Char Char Char,Heading 1 Char Char Char1,Heading 1 Char Char1,Heading 1 Char1 Char,Heading 1 Char1 Char Char Char,Heading 1 Char1 Char1,Heading 1 Char2,H1,Heading 1 Char Char2"/>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Char,Heading 2 Char Char1,Heading 2 Char Char1 Char Char Char,Heading 2 Char Char1 Char Char Char Char Char,Heading 2 Char Char3 Char,Heading 2 Char1,Heading 2 Char1 Char,Heading 2 Char1 Char Char Char,Heading 2 Char1 Char Char Char Char Char"/>
    <w:basedOn w:val="Normal"/>
    <w:next w:val="ParaNum"/>
    <w:autoRedefine/>
    <w:qFormat/>
    <w:rsid w:val="007A1E6D"/>
    <w:pPr>
      <w:keepNext/>
      <w:numPr>
        <w:ilvl w:val="1"/>
        <w:numId w:val="3"/>
      </w:numPr>
      <w:spacing w:after="120"/>
      <w:outlineLvl w:val="1"/>
    </w:pPr>
    <w:rPr>
      <w:b/>
    </w:rPr>
  </w:style>
  <w:style w:type="paragraph" w:styleId="Heading3">
    <w:name w:val="heading 3"/>
    <w:aliases w:val="1 Char,3 Char,Heading 3 Char Char,Heading 3 Char Char Char,Heading 3 Char Char Char Char,Heading 3 Char Char Char Char Char,Heading 3 Char Char1 Ch,Heading 3 Char1,Heading 3 Char1 Char,Heading 3 Char1 Char Char,Heading 3 Char2 Char1 Char Char"/>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 Char,Heading 4 Char Char Char,Heading 4 Char Char1,Heading 4 Char Char1 Char Ch,Heading 4 Char1,Heading 4 Char1 Char,Heading 4 Char1 Char1,Heading 4 Char1 Char1 Char Char,Heading 4 Char2,Heading 4 Char2 Char Char"/>
    <w:basedOn w:val="Normal"/>
    <w:next w:val="ParaNum"/>
    <w:qFormat/>
    <w:rsid w:val="00C426B1"/>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n,Footnote Text Char1,Footnote Text Char2 Char,Footnote Text Char1 Char Char,Footnote Text Char Char Char Char,Footnote Text Char1 Char Char Char Char1,Footnote Text Char Char Char Char Char Char1,fn Ch,Footnote Text Char,f"/>
    <w:link w:val="FootnoteTextChar2"/>
    <w:rsid w:val="000E3D42"/>
    <w:pPr>
      <w:spacing w:after="120"/>
    </w:pPr>
  </w:style>
  <w:style w:type="character" w:styleId="FootnoteReference">
    <w:name w:val="footnote reference"/>
    <w:aliases w:val="Appel note de bas de p,Style 12,(NECG) Footnote Reference,Style 124,o,fr,Style 3,Style 13,FR,Style 17,Style 6,Footnote Reference/,Style 4,Footnote Reference1,-E Funotenzeichen,Style 20,Style 34,Style 7,Style 9,callout,A,Ref,Style 1"/>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2">
    <w:name w:val="Footnote Text Char2"/>
    <w:aliases w:val="ALTS FOOTNOTE Char,fn Char,Footnote Text Char1 Char,Footnote Text Char2 Char Char,Footnote Text Char1 Char Char Char,Footnote Text Char Char Char Char Char,Footnote Text Char1 Char Char Char Char1 Char,fn Ch Char,f Char"/>
    <w:basedOn w:val="DefaultParagraphFont"/>
    <w:link w:val="FootnoteText"/>
    <w:locked/>
    <w:rsid w:val="00750EC8"/>
  </w:style>
  <w:style w:type="character" w:styleId="UnresolvedMention">
    <w:name w:val="Unresolved Mention"/>
    <w:basedOn w:val="DefaultParagraphFont"/>
    <w:uiPriority w:val="99"/>
    <w:unhideWhenUsed/>
    <w:rsid w:val="006E6CB6"/>
    <w:rPr>
      <w:color w:val="605E5C"/>
      <w:shd w:val="clear" w:color="auto" w:fill="E1DFDD"/>
    </w:rPr>
  </w:style>
  <w:style w:type="character" w:customStyle="1" w:styleId="ParaNumChar">
    <w:name w:val="ParaNum Char"/>
    <w:link w:val="ParaNum"/>
    <w:locked/>
    <w:rsid w:val="00901D1B"/>
    <w:rPr>
      <w:snapToGrid w:val="0"/>
      <w:kern w:val="28"/>
      <w:sz w:val="22"/>
    </w:rPr>
  </w:style>
  <w:style w:type="paragraph" w:styleId="BodyText">
    <w:name w:val="Body Text"/>
    <w:basedOn w:val="Normal"/>
    <w:link w:val="BodyTextChar"/>
    <w:uiPriority w:val="1"/>
    <w:qFormat/>
    <w:rsid w:val="00FC5034"/>
    <w:pPr>
      <w:widowControl/>
      <w:tabs>
        <w:tab w:val="left" w:pos="1224"/>
      </w:tabs>
      <w:spacing w:line="468" w:lineRule="auto"/>
      <w:ind w:firstLine="720"/>
      <w:jc w:val="both"/>
    </w:pPr>
    <w:rPr>
      <w:rFonts w:asciiTheme="minorHAnsi" w:eastAsiaTheme="minorHAnsi" w:hAnsiTheme="minorHAnsi"/>
      <w:snapToGrid/>
      <w:kern w:val="16"/>
      <w:sz w:val="28"/>
      <w:szCs w:val="24"/>
      <w14:ligatures w14:val="standardContextual"/>
      <w14:numForm w14:val="lining"/>
      <w14:numSpacing w14:val="proportional"/>
      <w14:cntxtAlts/>
    </w:rPr>
  </w:style>
  <w:style w:type="character" w:customStyle="1" w:styleId="BodyTextChar">
    <w:name w:val="Body Text Char"/>
    <w:basedOn w:val="DefaultParagraphFont"/>
    <w:link w:val="BodyText"/>
    <w:uiPriority w:val="1"/>
    <w:rsid w:val="00FC5034"/>
    <w:rPr>
      <w:rFonts w:asciiTheme="minorHAnsi" w:eastAsiaTheme="minorHAnsi" w:hAnsiTheme="minorHAnsi"/>
      <w:kern w:val="16"/>
      <w:sz w:val="28"/>
      <w:szCs w:val="24"/>
      <w14:ligatures w14:val="standardContextual"/>
      <w14:numForm w14:val="lining"/>
      <w14:numSpacing w14:val="proportional"/>
      <w14:cntxtAlts/>
    </w:rPr>
  </w:style>
  <w:style w:type="paragraph" w:styleId="Revision">
    <w:name w:val="Revision"/>
    <w:hidden/>
    <w:uiPriority w:val="99"/>
    <w:semiHidden/>
    <w:rsid w:val="00577EA2"/>
    <w:rPr>
      <w:snapToGrid w:val="0"/>
      <w:kern w:val="28"/>
      <w:sz w:val="22"/>
    </w:rPr>
  </w:style>
  <w:style w:type="character" w:styleId="CommentReference">
    <w:name w:val="annotation reference"/>
    <w:basedOn w:val="DefaultParagraphFont"/>
    <w:rsid w:val="00C62B28"/>
    <w:rPr>
      <w:sz w:val="16"/>
      <w:szCs w:val="16"/>
    </w:rPr>
  </w:style>
  <w:style w:type="paragraph" w:styleId="CommentText">
    <w:name w:val="annotation text"/>
    <w:basedOn w:val="Normal"/>
    <w:link w:val="CommentTextChar"/>
    <w:rsid w:val="00C62B28"/>
    <w:rPr>
      <w:sz w:val="20"/>
    </w:rPr>
  </w:style>
  <w:style w:type="character" w:customStyle="1" w:styleId="CommentTextChar">
    <w:name w:val="Comment Text Char"/>
    <w:basedOn w:val="DefaultParagraphFont"/>
    <w:link w:val="CommentText"/>
    <w:rsid w:val="00C62B28"/>
    <w:rPr>
      <w:snapToGrid w:val="0"/>
      <w:kern w:val="28"/>
    </w:rPr>
  </w:style>
  <w:style w:type="paragraph" w:styleId="CommentSubject">
    <w:name w:val="annotation subject"/>
    <w:basedOn w:val="CommentText"/>
    <w:next w:val="CommentText"/>
    <w:link w:val="CommentSubjectChar"/>
    <w:rsid w:val="00C62B28"/>
    <w:rPr>
      <w:b/>
      <w:bCs/>
    </w:rPr>
  </w:style>
  <w:style w:type="character" w:customStyle="1" w:styleId="CommentSubjectChar">
    <w:name w:val="Comment Subject Char"/>
    <w:basedOn w:val="CommentTextChar"/>
    <w:link w:val="CommentSubject"/>
    <w:rsid w:val="00C62B28"/>
    <w:rPr>
      <w:b/>
      <w:bCs/>
      <w:snapToGrid w:val="0"/>
      <w:kern w:val="28"/>
    </w:rPr>
  </w:style>
  <w:style w:type="character" w:styleId="Mention">
    <w:name w:val="Mention"/>
    <w:basedOn w:val="DefaultParagraphFont"/>
    <w:uiPriority w:val="99"/>
    <w:unhideWhenUsed/>
    <w:rsid w:val="009C4A88"/>
    <w:rPr>
      <w:color w:val="2B579A"/>
      <w:shd w:val="clear" w:color="auto" w:fill="E6E6E6"/>
    </w:rPr>
  </w:style>
  <w:style w:type="character" w:customStyle="1" w:styleId="Heading1Char">
    <w:name w:val="Heading 1 Char"/>
    <w:aliases w:val="Heading 1 Char Char Char2,Heading 1 Char Char Char Char,Heading 1 Char Char Char Char Char Char,Heading 1 Char Char Char1 Char,Heading 1 Char Char1 Char,Heading 1 Char1 Char Char,Heading 1 Char1 Char Char Char Char,Heading 1 Char2 Char"/>
    <w:basedOn w:val="DefaultParagraphFont"/>
    <w:link w:val="Heading1"/>
    <w:rsid w:val="00380DFE"/>
    <w:rPr>
      <w:rFonts w:ascii="Times New Roman Bold" w:hAnsi="Times New Roman Bold"/>
      <w:b/>
      <w:caps/>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4</Pages>
  <Words>1171</Words>
  <Characters>6183</Characters>
  <Application>Microsoft Office Word</Application>
  <DocSecurity>0</DocSecurity>
  <Lines>114</Lines>
  <Paragraphs>40</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puja amin</dc:creator>
  <cp:lastModifiedBy>Puja Amin</cp:lastModifiedBy>
  <cp:revision>3</cp:revision>
  <dcterms:created xsi:type="dcterms:W3CDTF">2026-01-07T17:37:00Z</dcterms:created>
  <dcterms:modified xsi:type="dcterms:W3CDTF">2026-01-07T17:37:00Z</dcterms:modified>
</cp:coreProperties>
</file>